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Lines="50" w:after="0" w:line="360" w:lineRule="auto"/>
        <w:rPr>
          <w:sz w:val="21"/>
          <w:szCs w:val="21"/>
        </w:rPr>
      </w:pPr>
      <w:bookmarkStart w:id="0" w:name="_Toc32660"/>
      <w:r>
        <w:rPr>
          <w:sz w:val="21"/>
          <w:szCs w:val="21"/>
        </w:rPr>
        <w:t>附</w:t>
      </w:r>
      <w:r>
        <w:rPr>
          <w:rFonts w:hint="eastAsia"/>
          <w:sz w:val="21"/>
          <w:szCs w:val="21"/>
          <w:lang w:eastAsia="zh-CN"/>
        </w:rPr>
        <w:t>件</w:t>
      </w:r>
      <w:r>
        <w:rPr>
          <w:rFonts w:hint="eastAsia"/>
          <w:sz w:val="21"/>
          <w:szCs w:val="21"/>
          <w:lang w:val="en-US" w:eastAsia="zh-CN"/>
        </w:rPr>
        <w:t>2</w:t>
      </w:r>
      <w:bookmarkStart w:id="1" w:name="_GoBack"/>
      <w:bookmarkEnd w:id="1"/>
      <w:r>
        <w:rPr>
          <w:sz w:val="21"/>
          <w:szCs w:val="21"/>
        </w:rPr>
        <w:t xml:space="preserve"> 评标方法及标准表</w:t>
      </w:r>
      <w:bookmarkEnd w:id="0"/>
    </w:p>
    <w:p>
      <w:pPr>
        <w:adjustRightInd w:val="0"/>
        <w:snapToGrid w:val="0"/>
        <w:spacing w:beforeLines="50" w:line="360" w:lineRule="auto"/>
        <w:jc w:val="center"/>
        <w:rPr>
          <w:b/>
          <w:sz w:val="28"/>
          <w:szCs w:val="28"/>
        </w:rPr>
        <w:pPrChange w:id="0" w:author="胡艳辉" w:date="2022-04-06T14:27:00Z">
          <w:pPr>
            <w:adjustRightInd w:val="0"/>
            <w:snapToGrid w:val="0"/>
            <w:spacing w:beforeLines="50" w:line="360" w:lineRule="auto"/>
            <w:jc w:val="center"/>
          </w:pPr>
        </w:pPrChange>
      </w:pPr>
      <w:r>
        <w:rPr>
          <w:b/>
          <w:sz w:val="28"/>
          <w:szCs w:val="28"/>
        </w:rPr>
        <w:t>评标方法及标准</w:t>
      </w:r>
    </w:p>
    <w:tbl>
      <w:tblPr>
        <w:tblStyle w:val="4"/>
        <w:tblW w:w="8860" w:type="dxa"/>
        <w:jc w:val="center"/>
        <w:tblLayout w:type="fixed"/>
        <w:tblCellMar>
          <w:top w:w="0" w:type="dxa"/>
          <w:left w:w="0" w:type="dxa"/>
          <w:bottom w:w="0" w:type="dxa"/>
          <w:right w:w="0" w:type="dxa"/>
        </w:tblCellMar>
      </w:tblPr>
      <w:tblGrid>
        <w:gridCol w:w="5442"/>
        <w:gridCol w:w="3418"/>
      </w:tblGrid>
      <w:tr>
        <w:tblPrEx>
          <w:tblCellMar>
            <w:top w:w="0" w:type="dxa"/>
            <w:left w:w="0" w:type="dxa"/>
            <w:bottom w:w="0" w:type="dxa"/>
            <w:right w:w="0" w:type="dxa"/>
          </w:tblCellMar>
        </w:tblPrEx>
        <w:trPr>
          <w:jc w:val="center"/>
        </w:trPr>
        <w:tc>
          <w:tcPr>
            <w:tcW w:w="8860" w:type="dxa"/>
            <w:gridSpan w:val="2"/>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kern w:val="0"/>
                <w:szCs w:val="21"/>
              </w:rPr>
            </w:pPr>
            <w:r>
              <w:rPr>
                <w:kern w:val="0"/>
                <w:szCs w:val="21"/>
              </w:rPr>
              <w:t>评审因素及权值</w:t>
            </w:r>
          </w:p>
        </w:tc>
      </w:tr>
      <w:tr>
        <w:tblPrEx>
          <w:tblCellMar>
            <w:top w:w="0" w:type="dxa"/>
            <w:left w:w="0" w:type="dxa"/>
            <w:bottom w:w="0" w:type="dxa"/>
            <w:right w:w="0" w:type="dxa"/>
          </w:tblCellMar>
        </w:tblPrEx>
        <w:trPr>
          <w:jc w:val="center"/>
        </w:trPr>
        <w:tc>
          <w:tcPr>
            <w:tcW w:w="5442"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kern w:val="0"/>
                <w:szCs w:val="21"/>
              </w:rPr>
            </w:pPr>
            <w:r>
              <w:rPr>
                <w:kern w:val="0"/>
                <w:szCs w:val="21"/>
              </w:rPr>
              <w:t>评审因素</w:t>
            </w:r>
          </w:p>
        </w:tc>
        <w:tc>
          <w:tcPr>
            <w:tcW w:w="3418"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kern w:val="0"/>
                <w:szCs w:val="21"/>
              </w:rPr>
            </w:pPr>
            <w:r>
              <w:rPr>
                <w:kern w:val="0"/>
                <w:szCs w:val="21"/>
              </w:rPr>
              <w:t>权值范围</w:t>
            </w:r>
          </w:p>
        </w:tc>
      </w:tr>
      <w:tr>
        <w:tblPrEx>
          <w:tblCellMar>
            <w:top w:w="0" w:type="dxa"/>
            <w:left w:w="0" w:type="dxa"/>
            <w:bottom w:w="0" w:type="dxa"/>
            <w:right w:w="0" w:type="dxa"/>
          </w:tblCellMar>
        </w:tblPrEx>
        <w:trPr>
          <w:jc w:val="center"/>
        </w:trPr>
        <w:tc>
          <w:tcPr>
            <w:tcW w:w="54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kern w:val="0"/>
                <w:szCs w:val="21"/>
                <w:lang w:val="en-US" w:eastAsia="zh-CN"/>
              </w:rPr>
            </w:pPr>
            <w:r>
              <w:rPr>
                <w:kern w:val="0"/>
                <w:szCs w:val="21"/>
              </w:rPr>
              <w:t>技术部分</w:t>
            </w:r>
            <w:r>
              <w:rPr>
                <w:rFonts w:hint="eastAsia"/>
                <w:kern w:val="0"/>
                <w:szCs w:val="21"/>
                <w:lang w:val="en-US" w:eastAsia="zh-CN"/>
              </w:rPr>
              <w:t>F1</w:t>
            </w:r>
          </w:p>
        </w:tc>
        <w:tc>
          <w:tcPr>
            <w:tcW w:w="34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kern w:val="0"/>
                <w:szCs w:val="21"/>
                <w:highlight w:val="none"/>
              </w:rPr>
            </w:pPr>
            <w:r>
              <w:rPr>
                <w:rFonts w:hint="eastAsia"/>
                <w:kern w:val="0"/>
                <w:szCs w:val="21"/>
                <w:highlight w:val="none"/>
                <w:lang w:val="en-US" w:eastAsia="zh-CN"/>
              </w:rPr>
              <w:t>50</w:t>
            </w:r>
            <w:r>
              <w:rPr>
                <w:kern w:val="0"/>
                <w:szCs w:val="21"/>
                <w:highlight w:val="none"/>
              </w:rPr>
              <w:t>%</w:t>
            </w:r>
          </w:p>
        </w:tc>
      </w:tr>
      <w:tr>
        <w:tblPrEx>
          <w:tblCellMar>
            <w:top w:w="0" w:type="dxa"/>
            <w:left w:w="0" w:type="dxa"/>
            <w:bottom w:w="0" w:type="dxa"/>
            <w:right w:w="0" w:type="dxa"/>
          </w:tblCellMar>
        </w:tblPrEx>
        <w:trPr>
          <w:jc w:val="center"/>
        </w:trPr>
        <w:tc>
          <w:tcPr>
            <w:tcW w:w="54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kern w:val="0"/>
                <w:szCs w:val="21"/>
                <w:lang w:val="en-US" w:eastAsia="zh-CN"/>
              </w:rPr>
            </w:pPr>
            <w:r>
              <w:rPr>
                <w:kern w:val="0"/>
                <w:szCs w:val="21"/>
              </w:rPr>
              <w:t>商务部分</w:t>
            </w:r>
            <w:r>
              <w:rPr>
                <w:rFonts w:hint="eastAsia"/>
                <w:kern w:val="0"/>
                <w:szCs w:val="21"/>
                <w:lang w:val="en-US" w:eastAsia="zh-CN"/>
              </w:rPr>
              <w:t>F2</w:t>
            </w:r>
          </w:p>
        </w:tc>
        <w:tc>
          <w:tcPr>
            <w:tcW w:w="34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kern w:val="0"/>
                <w:szCs w:val="21"/>
                <w:highlight w:val="none"/>
              </w:rPr>
            </w:pPr>
            <w:r>
              <w:rPr>
                <w:rFonts w:hint="eastAsia"/>
                <w:kern w:val="0"/>
                <w:szCs w:val="21"/>
                <w:highlight w:val="none"/>
                <w:lang w:val="en-US" w:eastAsia="zh-CN"/>
              </w:rPr>
              <w:t>20</w:t>
            </w:r>
            <w:r>
              <w:rPr>
                <w:kern w:val="0"/>
                <w:szCs w:val="21"/>
                <w:highlight w:val="none"/>
              </w:rPr>
              <w:t>%</w:t>
            </w:r>
          </w:p>
        </w:tc>
      </w:tr>
      <w:tr>
        <w:tblPrEx>
          <w:tblCellMar>
            <w:top w:w="0" w:type="dxa"/>
            <w:left w:w="0" w:type="dxa"/>
            <w:bottom w:w="0" w:type="dxa"/>
            <w:right w:w="0" w:type="dxa"/>
          </w:tblCellMar>
        </w:tblPrEx>
        <w:trPr>
          <w:jc w:val="center"/>
        </w:trPr>
        <w:tc>
          <w:tcPr>
            <w:tcW w:w="544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default" w:eastAsia="宋体"/>
                <w:kern w:val="0"/>
                <w:szCs w:val="21"/>
                <w:lang w:val="en-US" w:eastAsia="zh-CN"/>
              </w:rPr>
            </w:pPr>
            <w:r>
              <w:rPr>
                <w:kern w:val="0"/>
                <w:szCs w:val="21"/>
              </w:rPr>
              <w:t>价格部分</w:t>
            </w:r>
            <w:r>
              <w:rPr>
                <w:rFonts w:hint="eastAsia"/>
                <w:kern w:val="0"/>
                <w:szCs w:val="21"/>
                <w:lang w:val="en-US" w:eastAsia="zh-CN"/>
              </w:rPr>
              <w:t>F3</w:t>
            </w:r>
          </w:p>
        </w:tc>
        <w:tc>
          <w:tcPr>
            <w:tcW w:w="341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kern w:val="0"/>
                <w:szCs w:val="21"/>
                <w:highlight w:val="none"/>
              </w:rPr>
            </w:pPr>
            <w:r>
              <w:rPr>
                <w:rFonts w:hint="eastAsia"/>
                <w:kern w:val="0"/>
                <w:szCs w:val="21"/>
                <w:highlight w:val="none"/>
                <w:lang w:val="en-US" w:eastAsia="zh-CN"/>
              </w:rPr>
              <w:t>30</w:t>
            </w:r>
            <w:r>
              <w:rPr>
                <w:kern w:val="0"/>
                <w:szCs w:val="21"/>
                <w:highlight w:val="none"/>
              </w:rPr>
              <w:t>%</w:t>
            </w:r>
          </w:p>
        </w:tc>
      </w:tr>
    </w:tbl>
    <w:p>
      <w:pPr>
        <w:widowControl/>
        <w:rPr>
          <w:kern w:val="0"/>
          <w:szCs w:val="21"/>
        </w:rPr>
      </w:pPr>
      <w:r>
        <w:rPr>
          <w:kern w:val="0"/>
          <w:szCs w:val="21"/>
        </w:rPr>
        <w:t xml:space="preserve">  </w:t>
      </w:r>
    </w:p>
    <w:tbl>
      <w:tblPr>
        <w:tblStyle w:val="4"/>
        <w:tblW w:w="9039" w:type="dxa"/>
        <w:jc w:val="center"/>
        <w:tblLayout w:type="fixed"/>
        <w:tblCellMar>
          <w:top w:w="0" w:type="dxa"/>
          <w:left w:w="0" w:type="dxa"/>
          <w:bottom w:w="0" w:type="dxa"/>
          <w:right w:w="0" w:type="dxa"/>
        </w:tblCellMar>
      </w:tblPr>
      <w:tblGrid>
        <w:gridCol w:w="626"/>
        <w:gridCol w:w="1259"/>
        <w:gridCol w:w="641"/>
        <w:gridCol w:w="6513"/>
      </w:tblGrid>
      <w:tr>
        <w:tblPrEx>
          <w:tblCellMar>
            <w:top w:w="0" w:type="dxa"/>
            <w:left w:w="0" w:type="dxa"/>
            <w:bottom w:w="0" w:type="dxa"/>
            <w:right w:w="0" w:type="dxa"/>
          </w:tblCellMar>
        </w:tblPrEx>
        <w:trPr>
          <w:jc w:val="center"/>
        </w:trPr>
        <w:tc>
          <w:tcPr>
            <w:tcW w:w="9039"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综合评分表</w:t>
            </w:r>
          </w:p>
        </w:tc>
      </w:tr>
      <w:tr>
        <w:tblPrEx>
          <w:tblCellMar>
            <w:top w:w="0" w:type="dxa"/>
            <w:left w:w="0" w:type="dxa"/>
            <w:bottom w:w="0" w:type="dxa"/>
            <w:right w:w="0" w:type="dxa"/>
          </w:tblCellMar>
        </w:tblPrEx>
        <w:trPr>
          <w:jc w:val="center"/>
        </w:trPr>
        <w:tc>
          <w:tcPr>
            <w:tcW w:w="6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评审因素</w:t>
            </w:r>
          </w:p>
        </w:tc>
        <w:tc>
          <w:tcPr>
            <w:tcW w:w="12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计分因素</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分值</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计分标准</w:t>
            </w:r>
          </w:p>
        </w:tc>
      </w:tr>
      <w:tr>
        <w:tblPrEx>
          <w:tblCellMar>
            <w:top w:w="0" w:type="dxa"/>
            <w:left w:w="0" w:type="dxa"/>
            <w:bottom w:w="0" w:type="dxa"/>
            <w:right w:w="0" w:type="dxa"/>
          </w:tblCellMar>
        </w:tblPrEx>
        <w:trPr>
          <w:jc w:val="center"/>
        </w:trPr>
        <w:tc>
          <w:tcPr>
            <w:tcW w:w="626"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技术部分(F1)</w:t>
            </w:r>
          </w:p>
        </w:tc>
        <w:tc>
          <w:tcPr>
            <w:tcW w:w="12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技术指标响应程度</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0-80</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Style w:val="6"/>
              <w:jc w:val="lef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完全满足招标文件要求的，计80分；一般技术参数（非标“★”、“▲”参数）有负偏离或缺漏项的，每处扣5分，扣完为止。重要技术参数（标“▲”参数）有负偏离或缺漏项的，每处扣10分，扣完为止。以提供投标货物制造商公开发布的印刷资料或原版DATA SHEET或检测机构出具的检测报告为准，未提供的视同为负偏离，技术分为0分。</w:t>
            </w:r>
          </w:p>
        </w:tc>
      </w:tr>
      <w:tr>
        <w:tblPrEx>
          <w:tblCellMar>
            <w:top w:w="0" w:type="dxa"/>
            <w:left w:w="0" w:type="dxa"/>
            <w:bottom w:w="0" w:type="dxa"/>
            <w:right w:w="0" w:type="dxa"/>
          </w:tblCellMar>
        </w:tblPrEx>
        <w:trPr>
          <w:jc w:val="center"/>
        </w:trPr>
        <w:tc>
          <w:tcPr>
            <w:tcW w:w="62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left"/>
              <w:rPr>
                <w:rFonts w:hint="eastAsia" w:asciiTheme="majorEastAsia" w:hAnsiTheme="majorEastAsia" w:eastAsiaTheme="majorEastAsia" w:cstheme="majorEastAsia"/>
                <w:kern w:val="0"/>
                <w:szCs w:val="21"/>
              </w:rPr>
            </w:pPr>
          </w:p>
        </w:tc>
        <w:tc>
          <w:tcPr>
            <w:tcW w:w="1259"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设备配置完善性</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0-</w:t>
            </w:r>
            <w:r>
              <w:rPr>
                <w:rFonts w:hint="eastAsia" w:asciiTheme="majorEastAsia" w:hAnsiTheme="majorEastAsia" w:eastAsiaTheme="majorEastAsia" w:cstheme="majorEastAsia"/>
                <w:szCs w:val="21"/>
                <w:lang w:val="en-US" w:eastAsia="zh-CN"/>
              </w:rPr>
              <w:t>15</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从投标设备配置、设备性能、设备功能描述等方面计分。</w:t>
            </w:r>
          </w:p>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投标设备配置及设备性能完全满足招标文件要求、设备功能描述完整详细的计</w:t>
            </w:r>
            <w:r>
              <w:rPr>
                <w:rFonts w:hint="eastAsia" w:asciiTheme="majorEastAsia" w:hAnsiTheme="majorEastAsia" w:eastAsiaTheme="majorEastAsia" w:cstheme="majorEastAsia"/>
                <w:szCs w:val="21"/>
                <w:lang w:val="en-US" w:eastAsia="zh-CN"/>
              </w:rPr>
              <w:t>15</w:t>
            </w:r>
            <w:r>
              <w:rPr>
                <w:rFonts w:hint="eastAsia" w:asciiTheme="majorEastAsia" w:hAnsiTheme="majorEastAsia" w:eastAsiaTheme="majorEastAsia" w:cstheme="majorEastAsia"/>
                <w:szCs w:val="21"/>
              </w:rPr>
              <w:t>分；</w:t>
            </w:r>
          </w:p>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投标设备配置及设备性能基本满足招标文件要求、设备功能描述较完整详细的计</w:t>
            </w:r>
            <w:r>
              <w:rPr>
                <w:rFonts w:hint="eastAsia" w:asciiTheme="majorEastAsia" w:hAnsiTheme="majorEastAsia" w:eastAsiaTheme="majorEastAsia" w:cstheme="majorEastAsia"/>
                <w:szCs w:val="21"/>
                <w:lang w:val="en-US" w:eastAsia="zh-CN"/>
              </w:rPr>
              <w:t>10</w:t>
            </w:r>
            <w:r>
              <w:rPr>
                <w:rFonts w:hint="eastAsia" w:asciiTheme="majorEastAsia" w:hAnsiTheme="majorEastAsia" w:eastAsiaTheme="majorEastAsia" w:cstheme="majorEastAsia"/>
                <w:szCs w:val="21"/>
              </w:rPr>
              <w:t>分；</w:t>
            </w:r>
          </w:p>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投标设备配置及设备性能不满足招标文件要求、设备功能描述缺漏、不详细的计</w:t>
            </w:r>
            <w:r>
              <w:rPr>
                <w:rFonts w:hint="eastAsia" w:asciiTheme="majorEastAsia" w:hAnsiTheme="majorEastAsia" w:eastAsiaTheme="majorEastAsia" w:cstheme="majorEastAsia"/>
                <w:szCs w:val="21"/>
                <w:lang w:val="en-US" w:eastAsia="zh-CN"/>
              </w:rPr>
              <w:t>5</w:t>
            </w:r>
            <w:r>
              <w:rPr>
                <w:rFonts w:hint="eastAsia" w:asciiTheme="majorEastAsia" w:hAnsiTheme="majorEastAsia" w:eastAsiaTheme="majorEastAsia" w:cstheme="majorEastAsia"/>
                <w:szCs w:val="21"/>
              </w:rPr>
              <w:t>分；</w:t>
            </w:r>
          </w:p>
          <w:p>
            <w:pPr>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投标设备配置及设备性能不满足招标文件要求、无设备功能描述的计0分。</w:t>
            </w:r>
          </w:p>
        </w:tc>
      </w:tr>
      <w:tr>
        <w:tblPrEx>
          <w:tblCellMar>
            <w:top w:w="0" w:type="dxa"/>
            <w:left w:w="0" w:type="dxa"/>
            <w:bottom w:w="0" w:type="dxa"/>
            <w:right w:w="0" w:type="dxa"/>
          </w:tblCellMar>
        </w:tblPrEx>
        <w:trPr>
          <w:jc w:val="center"/>
        </w:trPr>
        <w:tc>
          <w:tcPr>
            <w:tcW w:w="62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left"/>
              <w:rPr>
                <w:rFonts w:hint="eastAsia" w:asciiTheme="majorEastAsia" w:hAnsiTheme="majorEastAsia" w:eastAsiaTheme="majorEastAsia" w:cstheme="majorEastAsia"/>
                <w:kern w:val="0"/>
                <w:szCs w:val="21"/>
              </w:rPr>
            </w:pPr>
          </w:p>
        </w:tc>
        <w:tc>
          <w:tcPr>
            <w:tcW w:w="1259"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设备质量可靠性</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0-</w:t>
            </w:r>
            <w:r>
              <w:rPr>
                <w:rFonts w:hint="eastAsia" w:asciiTheme="majorEastAsia" w:hAnsiTheme="majorEastAsia" w:eastAsiaTheme="majorEastAsia" w:cstheme="majorEastAsia"/>
                <w:szCs w:val="21"/>
                <w:lang w:val="en-US" w:eastAsia="zh-CN"/>
              </w:rPr>
              <w:t>5</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所投设备提供相关部门的检验报告计5分；未提供相关部门的检验报告计</w:t>
            </w:r>
            <w:r>
              <w:rPr>
                <w:rFonts w:hint="eastAsia" w:asciiTheme="majorEastAsia" w:hAnsiTheme="majorEastAsia" w:eastAsiaTheme="majorEastAsia" w:cstheme="majorEastAsia"/>
                <w:szCs w:val="21"/>
                <w:lang w:val="en-US" w:eastAsia="zh-CN"/>
              </w:rPr>
              <w:t>0</w:t>
            </w:r>
            <w:r>
              <w:rPr>
                <w:rFonts w:hint="eastAsia" w:asciiTheme="majorEastAsia" w:hAnsiTheme="majorEastAsia" w:eastAsiaTheme="majorEastAsia" w:cstheme="majorEastAsia"/>
                <w:szCs w:val="21"/>
              </w:rPr>
              <w:t>分。</w:t>
            </w:r>
          </w:p>
        </w:tc>
      </w:tr>
      <w:tr>
        <w:tblPrEx>
          <w:tblCellMar>
            <w:top w:w="0" w:type="dxa"/>
            <w:left w:w="0" w:type="dxa"/>
            <w:bottom w:w="0" w:type="dxa"/>
            <w:right w:w="0" w:type="dxa"/>
          </w:tblCellMar>
        </w:tblPrEx>
        <w:trPr>
          <w:trHeight w:val="720" w:hRule="atLeast"/>
          <w:jc w:val="center"/>
        </w:trPr>
        <w:tc>
          <w:tcPr>
            <w:tcW w:w="626"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商务部分(F2)</w:t>
            </w:r>
          </w:p>
        </w:tc>
        <w:tc>
          <w:tcPr>
            <w:tcW w:w="12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对招标文件的响应程度</w:t>
            </w:r>
          </w:p>
        </w:tc>
        <w:tc>
          <w:tcPr>
            <w:tcW w:w="641"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rPr>
            </w:pPr>
            <w:r>
              <w:rPr>
                <w:rFonts w:hint="eastAsia" w:asciiTheme="majorEastAsia" w:hAnsiTheme="majorEastAsia" w:eastAsiaTheme="majorEastAsia" w:cstheme="majorEastAsia"/>
                <w:szCs w:val="21"/>
                <w:lang w:val="en-US" w:eastAsia="zh-CN"/>
              </w:rPr>
              <w:t>0-10</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Style w:val="6"/>
              <w:jc w:val="lef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完全符合招标文件要求的，计10分；</w:t>
            </w:r>
          </w:p>
          <w:p>
            <w:pPr>
              <w:pStyle w:val="6"/>
              <w:jc w:val="lef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每负偏离招标文件商务要求一项（含一处格式错误）扣2分，扣完为止。</w:t>
            </w:r>
          </w:p>
        </w:tc>
      </w:tr>
      <w:tr>
        <w:tblPrEx>
          <w:tblCellMar>
            <w:top w:w="0" w:type="dxa"/>
            <w:left w:w="0" w:type="dxa"/>
            <w:bottom w:w="0" w:type="dxa"/>
            <w:right w:w="0" w:type="dxa"/>
          </w:tblCellMar>
        </w:tblPrEx>
        <w:trPr>
          <w:trHeight w:val="1044" w:hRule="atLeast"/>
          <w:jc w:val="center"/>
        </w:trPr>
        <w:tc>
          <w:tcPr>
            <w:tcW w:w="62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left"/>
              <w:rPr>
                <w:rFonts w:hint="eastAsia" w:asciiTheme="majorEastAsia" w:hAnsiTheme="majorEastAsia" w:eastAsiaTheme="majorEastAsia" w:cstheme="majorEastAsia"/>
                <w:kern w:val="0"/>
                <w:szCs w:val="21"/>
              </w:rPr>
            </w:pPr>
          </w:p>
        </w:tc>
        <w:tc>
          <w:tcPr>
            <w:tcW w:w="1259" w:type="dxa"/>
            <w:tcBorders>
              <w:top w:val="single" w:color="000000" w:sz="6" w:space="0"/>
              <w:left w:val="single" w:color="000000" w:sz="6" w:space="0"/>
              <w:right w:val="single" w:color="000000" w:sz="6"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color w:val="auto"/>
                <w:szCs w:val="21"/>
                <w:highlight w:val="none"/>
              </w:rPr>
              <w:t>售后服务方案</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0-25</w:t>
            </w:r>
          </w:p>
        </w:tc>
        <w:tc>
          <w:tcPr>
            <w:tcW w:w="6513"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color w:val="auto"/>
                <w:szCs w:val="21"/>
                <w:highlight w:val="none"/>
              </w:rPr>
              <w:t>从零配件的储备、安装验收计划、售后服务机构、维修响应时间、维修人员队伍、售后服务计划等方面计分。包含以上全部内容的计</w:t>
            </w:r>
            <w:r>
              <w:rPr>
                <w:rFonts w:hint="eastAsia" w:asciiTheme="majorEastAsia" w:hAnsiTheme="majorEastAsia" w:eastAsiaTheme="majorEastAsia" w:cstheme="majorEastAsia"/>
                <w:color w:val="auto"/>
                <w:szCs w:val="21"/>
                <w:highlight w:val="none"/>
                <w:lang w:val="en-US" w:eastAsia="zh-CN"/>
              </w:rPr>
              <w:t>25</w:t>
            </w:r>
            <w:r>
              <w:rPr>
                <w:rFonts w:hint="eastAsia" w:asciiTheme="majorEastAsia" w:hAnsiTheme="majorEastAsia" w:eastAsiaTheme="majorEastAsia" w:cstheme="majorEastAsia"/>
                <w:color w:val="auto"/>
                <w:szCs w:val="21"/>
                <w:highlight w:val="none"/>
              </w:rPr>
              <w:t>分，每缺少以上一项内容扣5分，扣完为止</w:t>
            </w:r>
            <w:r>
              <w:rPr>
                <w:rFonts w:hint="eastAsia" w:asciiTheme="majorEastAsia" w:hAnsiTheme="majorEastAsia" w:eastAsiaTheme="majorEastAsia" w:cstheme="majorEastAsia"/>
                <w:color w:val="auto"/>
                <w:szCs w:val="21"/>
                <w:highlight w:val="none"/>
                <w:lang w:eastAsia="zh-CN"/>
              </w:rPr>
              <w:t>。</w:t>
            </w:r>
          </w:p>
        </w:tc>
      </w:tr>
      <w:tr>
        <w:tblPrEx>
          <w:tblCellMar>
            <w:top w:w="0" w:type="dxa"/>
            <w:left w:w="0" w:type="dxa"/>
            <w:bottom w:w="0" w:type="dxa"/>
            <w:right w:w="0" w:type="dxa"/>
          </w:tblCellMar>
        </w:tblPrEx>
        <w:trPr>
          <w:trHeight w:val="765" w:hRule="atLeast"/>
          <w:jc w:val="center"/>
        </w:trPr>
        <w:tc>
          <w:tcPr>
            <w:tcW w:w="62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left"/>
              <w:rPr>
                <w:rFonts w:hint="eastAsia" w:asciiTheme="majorEastAsia" w:hAnsiTheme="majorEastAsia" w:eastAsiaTheme="majorEastAsia" w:cstheme="majorEastAsia"/>
                <w:kern w:val="0"/>
                <w:szCs w:val="21"/>
              </w:rPr>
            </w:pPr>
          </w:p>
        </w:tc>
        <w:tc>
          <w:tcPr>
            <w:tcW w:w="1259" w:type="dxa"/>
            <w:tcBorders>
              <w:top w:val="single" w:color="000000" w:sz="6" w:space="0"/>
              <w:left w:val="single" w:color="000000" w:sz="6" w:space="0"/>
              <w:right w:val="single" w:color="000000" w:sz="6"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培训计划方案</w:t>
            </w:r>
          </w:p>
        </w:tc>
        <w:tc>
          <w:tcPr>
            <w:tcW w:w="641"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0-25</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pStyle w:val="6"/>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kern w:val="2"/>
                <w:sz w:val="21"/>
                <w:szCs w:val="21"/>
                <w:highlight w:val="none"/>
                <w:lang w:val="en-US" w:eastAsia="zh-CN" w:bidi="ar-SA"/>
              </w:rPr>
              <w:t>从人员培训时间地点、人员培训方式、培训内容、人员安排等方面计分。包含以上全部内容的计25分，每缺少以上一项内容扣5分，扣完为止。</w:t>
            </w:r>
          </w:p>
        </w:tc>
      </w:tr>
      <w:tr>
        <w:tblPrEx>
          <w:tblCellMar>
            <w:top w:w="0" w:type="dxa"/>
            <w:left w:w="0" w:type="dxa"/>
            <w:bottom w:w="0" w:type="dxa"/>
            <w:right w:w="0" w:type="dxa"/>
          </w:tblCellMar>
        </w:tblPrEx>
        <w:trPr>
          <w:trHeight w:val="1443" w:hRule="atLeast"/>
          <w:jc w:val="center"/>
        </w:trPr>
        <w:tc>
          <w:tcPr>
            <w:tcW w:w="626"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exact"/>
              <w:jc w:val="left"/>
              <w:rPr>
                <w:rFonts w:hint="eastAsia" w:asciiTheme="majorEastAsia" w:hAnsiTheme="majorEastAsia" w:eastAsiaTheme="majorEastAsia" w:cstheme="majorEastAsia"/>
                <w:kern w:val="0"/>
                <w:szCs w:val="21"/>
              </w:rPr>
            </w:pPr>
          </w:p>
        </w:tc>
        <w:tc>
          <w:tcPr>
            <w:tcW w:w="1259" w:type="dxa"/>
            <w:tcBorders>
              <w:top w:val="single" w:color="000000" w:sz="6" w:space="0"/>
              <w:left w:val="single" w:color="000000" w:sz="6" w:space="0"/>
              <w:right w:val="single" w:color="000000" w:sz="6"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业绩</w:t>
            </w:r>
          </w:p>
        </w:tc>
        <w:tc>
          <w:tcPr>
            <w:tcW w:w="641"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0-40</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2019年1月1日以来，所投同型号设备在国内具备使用业绩，每提供1份采购合同或者中标通知书扫描件的计4分，满分40分。（采购合同或者中标通知书的扫描件，如有印章不清晰，日期为空或未注明，均不予计分。）</w:t>
            </w:r>
          </w:p>
        </w:tc>
      </w:tr>
      <w:tr>
        <w:tblPrEx>
          <w:tblCellMar>
            <w:top w:w="0" w:type="dxa"/>
            <w:left w:w="0" w:type="dxa"/>
            <w:bottom w:w="0" w:type="dxa"/>
            <w:right w:w="0" w:type="dxa"/>
          </w:tblCellMar>
        </w:tblPrEx>
        <w:trPr>
          <w:jc w:val="center"/>
        </w:trPr>
        <w:tc>
          <w:tcPr>
            <w:tcW w:w="6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价格部分(F3)</w:t>
            </w:r>
          </w:p>
        </w:tc>
        <w:tc>
          <w:tcPr>
            <w:tcW w:w="12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投标报价</w:t>
            </w:r>
          </w:p>
        </w:tc>
        <w:tc>
          <w:tcPr>
            <w:tcW w:w="64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100.0</w:t>
            </w:r>
          </w:p>
        </w:tc>
        <w:tc>
          <w:tcPr>
            <w:tcW w:w="651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exact"/>
              <w:ind w:firstLine="420" w:firstLineChars="200"/>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投标报价调整（扶持中小企业发展优惠政策、残疾人福利性单位优惠政策）：如整包投标，整包某一品目为中小企业产品或残疾人福利性单位产品，只对其品目中小企业产品或残疾人福利性单位产品报价进行折扣，再合计到投标报价总价中。本项目的具体扣除比例详见第四章。</w:t>
            </w:r>
          </w:p>
          <w:p>
            <w:pPr>
              <w:widowControl/>
              <w:spacing w:line="360" w:lineRule="exact"/>
              <w:ind w:firstLine="420" w:firstLineChars="200"/>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2、满足招标文件要求且投标报价中最低的投标报价为评标基准价其价格分为满分；其他投标人的价格分统一按照以下公式计算：</w:t>
            </w:r>
          </w:p>
          <w:p>
            <w:pPr>
              <w:widowControl/>
              <w:spacing w:line="360" w:lineRule="exact"/>
              <w:ind w:firstLine="420" w:firstLineChars="200"/>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xml:space="preserve">投标报价得分=（评标基准价/投标报价）×价格权值×100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艳辉">
    <w15:presenceInfo w15:providerId="None" w15:userId="胡艳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g0MWM4MjJlNzg0YWVlMmFhM2YwOWY0OWMxYWYifQ=="/>
  </w:docVars>
  <w:rsids>
    <w:rsidRoot w:val="00000000"/>
    <w:rsid w:val="2FAC1CA0"/>
    <w:rsid w:val="48F4272A"/>
    <w:rsid w:val="7EF2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6">
    <w:name w:val="Normal_0"/>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990</Words>
  <Characters>1052</Characters>
  <Lines>0</Lines>
  <Paragraphs>0</Paragraphs>
  <TotalTime>2</TotalTime>
  <ScaleCrop>false</ScaleCrop>
  <LinksUpToDate>false</LinksUpToDate>
  <CharactersWithSpaces>1057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2022-12-22T13:50:00Z</dcterms:created>
  <dc:creator>Administrator</dc:creator>
  <cp:lastModifiedBy>Administrator</cp:lastModifiedBy>
  <dcterms:modified xsi:type="dcterms:W3CDTF">2022-12-23T06:47:19Z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BE4D5C1BFDC94F39AAADAFC7CB75CDFD</vt:lpwstr>
  </property>
</Properties>
</file>