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BC98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val="en-US" w:eastAsia="zh-CN"/>
        </w:rPr>
        <w:t>全自动凝血分析仪设备采购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</w:rPr>
        <w:t>项目</w:t>
      </w:r>
    </w:p>
    <w:p w14:paraId="30F8F0A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仿宋" w:hAnsi="仿宋" w:eastAsia="仿宋" w:cs="仿宋"/>
          <w:b/>
          <w:bCs/>
          <w:color w:val="CC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val="en-US" w:eastAsia="zh-CN"/>
        </w:rPr>
        <w:t>采购公告</w:t>
      </w:r>
    </w:p>
    <w:p w14:paraId="46F4D93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rFonts w:hint="default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SYXYFEYY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0802</w:t>
      </w:r>
    </w:p>
    <w:p w14:paraId="6D5A31D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采购项目：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全自动凝血分析仪设备采购</w:t>
      </w: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7403"/>
      </w:tblGrid>
      <w:tr w14:paraId="01627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51BA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C505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邵阳学院附属第二医院</w:t>
            </w:r>
          </w:p>
        </w:tc>
      </w:tr>
      <w:tr w14:paraId="48E7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0B19A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123C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全自动凝血分析仪设备采购设备采购</w:t>
            </w:r>
          </w:p>
        </w:tc>
      </w:tr>
      <w:tr w14:paraId="6BB11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49EF5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项目预算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CE60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人民币壹拾捌万元整（¥180,000.00）</w:t>
            </w:r>
          </w:p>
        </w:tc>
      </w:tr>
      <w:tr w14:paraId="186CF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DAF2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571E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院内自主采购</w:t>
            </w:r>
          </w:p>
        </w:tc>
      </w:tr>
      <w:tr w14:paraId="2D2B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E61C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公告日期</w:t>
            </w:r>
          </w:p>
        </w:tc>
        <w:tc>
          <w:tcPr>
            <w:tcW w:w="74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72EF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2025年8月19日</w:t>
            </w:r>
          </w:p>
        </w:tc>
      </w:tr>
      <w:tr w14:paraId="4150D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5C83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响应截止时间</w:t>
            </w:r>
          </w:p>
        </w:tc>
        <w:tc>
          <w:tcPr>
            <w:tcW w:w="74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2A54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2025年8月25日12时00分</w:t>
            </w:r>
          </w:p>
        </w:tc>
      </w:tr>
      <w:tr w14:paraId="70529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FD95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谈判时间</w:t>
            </w:r>
          </w:p>
        </w:tc>
        <w:tc>
          <w:tcPr>
            <w:tcW w:w="74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4D926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2025年8月26日 15时00分</w:t>
            </w:r>
          </w:p>
        </w:tc>
      </w:tr>
      <w:tr w14:paraId="42C6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4C41D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谈判地点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C514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邵阳学院附属第二医院行政楼3楼会议室</w:t>
            </w:r>
          </w:p>
        </w:tc>
      </w:tr>
      <w:tr w14:paraId="4ABE6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3DB2F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项目联系人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384AF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李先生</w:t>
            </w:r>
          </w:p>
        </w:tc>
      </w:tr>
      <w:tr w14:paraId="11AC9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6D026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A9B8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0739-5270379</w:t>
            </w:r>
          </w:p>
        </w:tc>
      </w:tr>
    </w:tbl>
    <w:p w14:paraId="084F1780">
      <w:pPr>
        <w:rPr>
          <w:rFonts w:hint="eastAsia"/>
          <w:lang w:val="en-US" w:eastAsia="zh-CN"/>
        </w:rPr>
      </w:pPr>
    </w:p>
    <w:p w14:paraId="57F46E52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第一章 采购邀请函</w:t>
      </w:r>
    </w:p>
    <w:p w14:paraId="089F3E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邵阳学院附属第二医院（采购人）就“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全自动凝血分析仪设备采购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”（项目编号：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SYXYFEYY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0802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）进行采购，欢迎符合资格条件的供应商参加谈判。</w:t>
      </w:r>
    </w:p>
    <w:p w14:paraId="71300C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  <w:t>一、项目概况</w:t>
      </w:r>
    </w:p>
    <w:p w14:paraId="28A1AD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本次采购预算为18万元，采购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全自动凝血分析仪设备采购一台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，用于医院检验科日常工作。设备要求符合国家相关标准，具备医疗器械注册证。</w:t>
      </w:r>
    </w:p>
    <w:p w14:paraId="26B218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  <w:t>二、供应商资格要求</w:t>
      </w:r>
    </w:p>
    <w:p w14:paraId="4B350432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具有独立承担民事责任的能力</w:t>
      </w:r>
    </w:p>
    <w:p w14:paraId="07704FE3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具有良好的商业信誉和健全的财务会计制度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近1年财务报表或审计报告复印件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6154990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具有履行合同所必需的设备和专业技术能力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项目对应的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资格证书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21F3498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有依法缴纳税收和社会保障资金的良好记录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税务部门出具近6个月完税证明及社保部门盖章近6个月社保缴纳凭证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451939B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参加采购活动前三年内无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不良信用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“信用中国”网站查询截图无行政处罚记录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77B8299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本项目不接受联合体投标</w:t>
      </w:r>
    </w:p>
    <w:p w14:paraId="1CADB3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default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  <w:t>三、报名资料提交</w:t>
      </w:r>
    </w:p>
    <w:p w14:paraId="66CE02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日（工作日9:00-11:30，14:30-17:00）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地点：邵阳学院附属第二医院国有资产管理办公室（6号楼309）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方式：现场报名，需提供营业执照复印件、法定代表人授权书及供应商资格要求所含内容的证明材料，胶装成册</w:t>
      </w:r>
    </w:p>
    <w:p w14:paraId="4F5467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  <w:t>四、响应文件提交</w:t>
      </w:r>
    </w:p>
    <w:p w14:paraId="4149AE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截止时间：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日15时（北京时间）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地点：邵阳学院附属第二医院行政楼3楼会议室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逾期送达或未按要求密封的响应文件将不予受理</w:t>
      </w:r>
    </w:p>
    <w:p w14:paraId="78E866E0">
      <w:pPr>
        <w:keepNext w:val="0"/>
        <w:keepLines w:val="0"/>
        <w:widowControl/>
        <w:suppressLineNumbers w:val="0"/>
        <w:pBdr>
          <w:top w:val="single" w:color="FFCC00" w:sz="6" w:space="11"/>
          <w:left w:val="single" w:color="FFCC00" w:sz="6" w:space="11"/>
          <w:bottom w:val="single" w:color="FFCC00" w:sz="6" w:space="11"/>
          <w:right w:val="single" w:color="FFCC00" w:sz="6" w:space="11"/>
        </w:pBdr>
        <w:shd w:val="clear" w:fill="FFF9E6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3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  <w:t>重要提示：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  <w:t>供应商须在响应文件中提供真实、准确、完整的材料，任何虚假材料将导致投标无效并承担相应法律责任。</w:t>
      </w:r>
    </w:p>
    <w:p w14:paraId="53E76A32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第二章 供应商须知</w:t>
      </w:r>
    </w:p>
    <w:p w14:paraId="1A777C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  <w:t>一、谈判程序</w:t>
      </w:r>
    </w:p>
    <w:p w14:paraId="7F100201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供应商签到及资格审查</w:t>
      </w:r>
    </w:p>
    <w:p w14:paraId="1C7C15B0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宣布谈判纪律及注意事项</w:t>
      </w:r>
    </w:p>
    <w:p w14:paraId="1BEF5BFB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第一轮报价（密封递交）</w:t>
      </w:r>
    </w:p>
    <w:p w14:paraId="3DB39759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谈判小组与供应商分别进行谈判</w:t>
      </w:r>
    </w:p>
    <w:p w14:paraId="1821C25D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供应商最终承诺及最终报价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报价单需盖公章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53B8E4B6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谈判小组评审并推荐成交候选人</w:t>
      </w:r>
      <w:bookmarkStart w:id="0" w:name="_GoBack"/>
      <w:bookmarkEnd w:id="0"/>
    </w:p>
    <w:p w14:paraId="44299E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  <w:t>二、响应文件编制要求</w:t>
      </w:r>
    </w:p>
    <w:p w14:paraId="6045EE20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响应文件须按第四章格式要求编制</w:t>
      </w:r>
    </w:p>
    <w:p w14:paraId="0343D3BD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所有文件均需加盖公章，复印件需注明"与原件一致"</w:t>
      </w:r>
    </w:p>
    <w:p w14:paraId="3314E283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报价为人民币含税价，包含运输、安装、培训等一切费用</w:t>
      </w:r>
    </w:p>
    <w:p w14:paraId="17D304C1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响应文件正本1份</w:t>
      </w:r>
    </w:p>
    <w:p w14:paraId="45E857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  <w:t>三、谈判规则</w:t>
      </w:r>
    </w:p>
    <w:p w14:paraId="785FDA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1. 谈判小组由采购人代表和相关专家共3人组成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2. 谈判过程中供应商不得透露可能影响公平竞争的信息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3. 最终报价不得高于首轮报价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4. 谈判结束后，供应商须在等候区等待通知</w:t>
      </w:r>
    </w:p>
    <w:p w14:paraId="19861698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第三章 采购需求</w:t>
      </w:r>
    </w:p>
    <w:tbl>
      <w:tblPr>
        <w:tblStyle w:val="11"/>
        <w:tblW w:w="5395" w:type="pct"/>
        <w:tblInd w:w="-370" w:type="dxa"/>
        <w:tblBorders>
          <w:top w:val="single" w:color="E7E6E6" w:themeColor="background2" w:sz="4" w:space="0"/>
          <w:left w:val="single" w:color="E7E6E6" w:themeColor="background2" w:sz="4" w:space="0"/>
          <w:bottom w:val="single" w:color="E7E6E6" w:themeColor="background2" w:sz="4" w:space="0"/>
          <w:right w:val="single" w:color="E7E6E6" w:themeColor="background2" w:sz="4" w:space="0"/>
          <w:insideH w:val="single" w:color="E7E6E6" w:themeColor="background2" w:sz="4" w:space="0"/>
          <w:insideV w:val="single" w:color="E7E6E6" w:themeColor="background2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3812"/>
        <w:gridCol w:w="995"/>
        <w:gridCol w:w="2051"/>
        <w:gridCol w:w="2130"/>
      </w:tblGrid>
      <w:tr w14:paraId="0FB37A64"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515" w:type="pct"/>
            <w:tcBorders>
              <w:tl2br w:val="nil"/>
              <w:tr2bl w:val="nil"/>
            </w:tcBorders>
            <w:shd w:val="clear" w:color="auto" w:fill="E6F0FF"/>
            <w:noWrap w:val="0"/>
            <w:vAlign w:val="center"/>
          </w:tcPr>
          <w:p w14:paraId="26611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01" w:type="pct"/>
            <w:tcBorders>
              <w:tl2br w:val="nil"/>
              <w:tr2bl w:val="nil"/>
            </w:tcBorders>
            <w:shd w:val="clear" w:color="auto" w:fill="E6F0FF"/>
            <w:noWrap w:val="0"/>
            <w:vAlign w:val="center"/>
          </w:tcPr>
          <w:p w14:paraId="3B286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E6F0FF"/>
            <w:noWrap w:val="0"/>
            <w:vAlign w:val="center"/>
          </w:tcPr>
          <w:p w14:paraId="6526F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shd w:val="clear" w:color="auto" w:fill="E6F0FF"/>
            <w:noWrap w:val="0"/>
            <w:vAlign w:val="center"/>
          </w:tcPr>
          <w:p w14:paraId="3A637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预算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shd w:val="clear" w:color="auto" w:fill="E6F0FF"/>
            <w:noWrap w:val="0"/>
            <w:vAlign w:val="center"/>
          </w:tcPr>
          <w:p w14:paraId="6BCDB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</w:t>
            </w:r>
          </w:p>
        </w:tc>
      </w:tr>
      <w:tr w14:paraId="33F0B81A"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515" w:type="pct"/>
            <w:tcBorders>
              <w:tl2br w:val="nil"/>
              <w:tr2bl w:val="nil"/>
            </w:tcBorders>
            <w:noWrap w:val="0"/>
            <w:vAlign w:val="center"/>
          </w:tcPr>
          <w:p w14:paraId="749E3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901" w:type="pct"/>
            <w:tcBorders>
              <w:tl2br w:val="nil"/>
              <w:tr2bl w:val="nil"/>
            </w:tcBorders>
            <w:noWrap w:val="0"/>
            <w:vAlign w:val="top"/>
          </w:tcPr>
          <w:p w14:paraId="1336A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全自动凝血分析仪设备采购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 w:val="0"/>
            <w:vAlign w:val="center"/>
          </w:tcPr>
          <w:p w14:paraId="323F6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1台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noWrap w:val="0"/>
            <w:vAlign w:val="center"/>
          </w:tcPr>
          <w:p w14:paraId="261F7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18万元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noWrap w:val="0"/>
            <w:vAlign w:val="center"/>
          </w:tcPr>
          <w:p w14:paraId="3A5FF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18万元</w:t>
            </w:r>
          </w:p>
        </w:tc>
      </w:tr>
    </w:tbl>
    <w:p w14:paraId="1D5D21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  <w:t>一、设备技术参数</w:t>
      </w:r>
    </w:p>
    <w:tbl>
      <w:tblPr>
        <w:tblStyle w:val="11"/>
        <w:tblW w:w="100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3245"/>
        <w:gridCol w:w="5530"/>
      </w:tblGrid>
      <w:tr w14:paraId="67391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E2C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AF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  <w:tc>
          <w:tcPr>
            <w:tcW w:w="5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B25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 w14:paraId="4241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8EE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3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28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检测原理</w:t>
            </w:r>
          </w:p>
        </w:tc>
        <w:tc>
          <w:tcPr>
            <w:tcW w:w="5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905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光学法</w:t>
            </w:r>
          </w:p>
        </w:tc>
      </w:tr>
      <w:tr w14:paraId="72901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220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3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3B5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检测方法</w:t>
            </w:r>
          </w:p>
        </w:tc>
        <w:tc>
          <w:tcPr>
            <w:tcW w:w="5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6EC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凝固法、发色底物法、免疫比浊法。</w:t>
            </w:r>
          </w:p>
        </w:tc>
      </w:tr>
      <w:tr w14:paraId="3AEEE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004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3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AAE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检测项目</w:t>
            </w:r>
          </w:p>
        </w:tc>
        <w:tc>
          <w:tcPr>
            <w:tcW w:w="5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BB5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至少包括 PT、APTT、FIB、TT、D-Dimer、FDP、AT-III、LA、抗Xa、PS、PC，Ⅱ，Ⅶ，Ⅷ等并有原厂注册证</w:t>
            </w:r>
          </w:p>
        </w:tc>
      </w:tr>
      <w:tr w14:paraId="43CD7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C77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3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A17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开关机模式</w:t>
            </w:r>
          </w:p>
        </w:tc>
        <w:tc>
          <w:tcPr>
            <w:tcW w:w="5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2E6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单台凝血分析仪可单独控制开关机</w:t>
            </w:r>
          </w:p>
        </w:tc>
      </w:tr>
      <w:tr w14:paraId="3D3C3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A73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3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224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检测通道</w:t>
            </w:r>
          </w:p>
        </w:tc>
        <w:tc>
          <w:tcPr>
            <w:tcW w:w="5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AED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单台凝血分析仪检测通道≥20个</w:t>
            </w:r>
          </w:p>
        </w:tc>
      </w:tr>
      <w:tr w14:paraId="79C08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74D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3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0AC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标本进样</w:t>
            </w:r>
          </w:p>
        </w:tc>
        <w:tc>
          <w:tcPr>
            <w:tcW w:w="5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D6E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单台凝血分析仪检测通道样本位≥150个，可轨道式连续进样，内置条码扫描装置可实时扫描样本的条码信息</w:t>
            </w:r>
          </w:p>
        </w:tc>
      </w:tr>
      <w:tr w14:paraId="37ADF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BA9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3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92A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急诊功能</w:t>
            </w:r>
          </w:p>
        </w:tc>
        <w:tc>
          <w:tcPr>
            <w:tcW w:w="5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EE4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可随时插入急诊样本,有独立急诊位置和进样通道，单台凝血分析仪检测通道急诊检测位≥5个</w:t>
            </w:r>
          </w:p>
        </w:tc>
      </w:tr>
      <w:tr w14:paraId="49AEE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1BB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3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F75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闭盖穿刺</w:t>
            </w:r>
          </w:p>
        </w:tc>
        <w:tc>
          <w:tcPr>
            <w:tcW w:w="5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E19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样本针具有液位感应和优化的闭盖穿刺功能；适应不同真空采血管</w:t>
            </w:r>
          </w:p>
        </w:tc>
      </w:tr>
      <w:tr w14:paraId="154A7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D92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3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96F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样本量自动监测</w:t>
            </w:r>
          </w:p>
        </w:tc>
        <w:tc>
          <w:tcPr>
            <w:tcW w:w="5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DF6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自动识别并报警提示样本量不足样本</w:t>
            </w:r>
          </w:p>
        </w:tc>
      </w:tr>
      <w:tr w14:paraId="6B50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  <w:jc w:val="center"/>
        </w:trPr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60E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3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1F9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试剂仓位</w:t>
            </w:r>
          </w:p>
        </w:tc>
        <w:tc>
          <w:tcPr>
            <w:tcW w:w="5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CA9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单台凝血分析仪≥60个试剂腔位。可不暂停检测在线更换试剂。试剂仓封闭减少试剂挥发。</w:t>
            </w:r>
          </w:p>
        </w:tc>
      </w:tr>
      <w:tr w14:paraId="220C2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B08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3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3D9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进样类型</w:t>
            </w:r>
          </w:p>
        </w:tc>
        <w:tc>
          <w:tcPr>
            <w:tcW w:w="5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B7F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试剂可任意位置摆放并条码识别，可进行试剂余量监测，多瓶同种试剂可连续自动切换，试剂位冷凝水可自动排除</w:t>
            </w:r>
          </w:p>
        </w:tc>
      </w:tr>
      <w:tr w14:paraId="7144B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953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3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463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冰箱功能</w:t>
            </w:r>
          </w:p>
        </w:tc>
        <w:tc>
          <w:tcPr>
            <w:tcW w:w="5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50E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仪器关机试剂无需取出，试剂盘能单独制冷保持 2-8℃</w:t>
            </w:r>
          </w:p>
        </w:tc>
      </w:tr>
      <w:tr w14:paraId="65B67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7E3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3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5A6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试剂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管理</w:t>
            </w:r>
          </w:p>
        </w:tc>
        <w:tc>
          <w:tcPr>
            <w:tcW w:w="5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56B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试剂人份数注册，实测数与注册数一致，全液体试剂，即开即用无需复溶</w:t>
            </w:r>
          </w:p>
        </w:tc>
      </w:tr>
      <w:tr w14:paraId="69AA9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AAB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3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776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反应杯</w:t>
            </w:r>
          </w:p>
        </w:tc>
        <w:tc>
          <w:tcPr>
            <w:tcW w:w="5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37D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反应杯可连续装载，单台凝血分析仪一次放置反应</w:t>
            </w:r>
          </w:p>
        </w:tc>
      </w:tr>
      <w:tr w14:paraId="5BF25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907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3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9BC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精密度</w:t>
            </w:r>
          </w:p>
        </w:tc>
        <w:tc>
          <w:tcPr>
            <w:tcW w:w="5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A1F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血凝常规4项的CV 值&lt;3%，D-Dimer&lt;7.5%</w:t>
            </w:r>
          </w:p>
        </w:tc>
      </w:tr>
      <w:tr w14:paraId="3DF17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D49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3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364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拭子清洗</w:t>
            </w:r>
          </w:p>
        </w:tc>
        <w:tc>
          <w:tcPr>
            <w:tcW w:w="5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F3F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样本针采用拭子式清洗技术</w:t>
            </w:r>
          </w:p>
        </w:tc>
      </w:tr>
      <w:tr w14:paraId="45F63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30E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3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7CF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质控品及校准品</w:t>
            </w:r>
          </w:p>
        </w:tc>
        <w:tc>
          <w:tcPr>
            <w:tcW w:w="5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1A5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可提供原厂配套质控品及校准品</w:t>
            </w:r>
          </w:p>
        </w:tc>
      </w:tr>
      <w:tr w14:paraId="3D8D5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FDD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3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677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室间质评</w:t>
            </w:r>
          </w:p>
        </w:tc>
        <w:tc>
          <w:tcPr>
            <w:tcW w:w="5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3C5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所投全自动凝血分析仪需为成熟机型，并在国家卫生健康委临床检验中心的室间质评中有独立分组，且参与数量≥200家（同机型），并提供证明文件</w:t>
            </w:r>
          </w:p>
        </w:tc>
      </w:tr>
      <w:tr w14:paraId="5392A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B5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3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F7B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配置</w:t>
            </w:r>
          </w:p>
        </w:tc>
        <w:tc>
          <w:tcPr>
            <w:tcW w:w="5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8CD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两台同型号凝血分析仪，通过轨道连接成级联流水线。</w:t>
            </w:r>
          </w:p>
        </w:tc>
      </w:tr>
    </w:tbl>
    <w:p w14:paraId="128306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  <w:t>二、商务要求</w:t>
      </w:r>
    </w:p>
    <w:p w14:paraId="0FE93D07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交货期：合同签订后30个日历日内</w:t>
      </w:r>
    </w:p>
    <w:p w14:paraId="439384A5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交货地点：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邵阳学院附属第二医院</w:t>
      </w:r>
    </w:p>
    <w:p w14:paraId="25652FA5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质保期：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按照采购需求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（自验收合格之日起）</w:t>
      </w:r>
    </w:p>
    <w:p w14:paraId="5770BF1B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付款方式：货到安装调试验收合格后支付9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%，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6个月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满后支付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%</w:t>
      </w:r>
    </w:p>
    <w:p w14:paraId="4F8834A7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第四章 响应文件格式要求</w:t>
      </w:r>
    </w:p>
    <w:p w14:paraId="42E357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一、响应文件组成</w:t>
      </w:r>
    </w:p>
    <w:p w14:paraId="2EE3C761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响应函（格式见附件1）</w:t>
      </w:r>
    </w:p>
    <w:p w14:paraId="0AD37D48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法定代表人授权书（格式见附件2）</w:t>
      </w:r>
    </w:p>
    <w:p w14:paraId="7BEF99C1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报价表（格式见附件3）</w:t>
      </w:r>
    </w:p>
    <w:p w14:paraId="082BA3AC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技术参数响应表（格式见附件4）</w:t>
      </w:r>
    </w:p>
    <w:p w14:paraId="76CD7568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商务条款响应表（格式见附件5）</w:t>
      </w:r>
    </w:p>
    <w:p w14:paraId="7DD7B3E4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资格证明文件</w:t>
      </w:r>
    </w:p>
    <w:p w14:paraId="08BF1C9A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服务承诺书</w:t>
      </w:r>
    </w:p>
    <w:p w14:paraId="0EC7FE7C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其他应提交的资料</w:t>
      </w:r>
    </w:p>
    <w:p w14:paraId="46C490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二、响应文件格式要求</w:t>
      </w:r>
    </w:p>
    <w:p w14:paraId="13DA589C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响应文件应使用A4幅面纸张打印</w:t>
      </w:r>
    </w:p>
    <w:p w14:paraId="5D224799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正文字体为宋体小四号，标题为黑体三号</w:t>
      </w:r>
    </w:p>
    <w:p w14:paraId="37CDEC87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所有文件应装订成册并编制连续页码</w:t>
      </w:r>
    </w:p>
    <w:p w14:paraId="71DF9E61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响应文件封面应注明项目名称、项目编号、供应商名称</w:t>
      </w:r>
    </w:p>
    <w:p w14:paraId="5B3A1A32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每页均需加盖单位公章（骑缝章）</w:t>
      </w:r>
    </w:p>
    <w:p w14:paraId="317603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三、附件：响应文件格式模板</w:t>
      </w:r>
    </w:p>
    <w:p w14:paraId="248475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附件1：响应函格式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5894"/>
      </w:tblGrid>
      <w:tr w14:paraId="32D4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283C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响应函</w:t>
            </w:r>
          </w:p>
        </w:tc>
      </w:tr>
      <w:tr w14:paraId="51F7F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6231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致：邵阳学院附属第二医院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01B1F1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D7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2BEE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DEBC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1F59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73D7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F250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3379E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2BCA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A35733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2039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4D56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响应报价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F562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人民币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元（¥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4067B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C3D3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交货期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06D0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合同签订后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天</w:t>
            </w:r>
          </w:p>
        </w:tc>
      </w:tr>
      <w:tr w14:paraId="08C5B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59F2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质保期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613A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</w:t>
            </w:r>
          </w:p>
        </w:tc>
      </w:tr>
      <w:tr w14:paraId="6EE8A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5D4C896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我方声明：</w:t>
            </w:r>
          </w:p>
          <w:p w14:paraId="56F3CAB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 已完全理解采购文件要求</w:t>
            </w:r>
          </w:p>
          <w:p w14:paraId="4D60D5DF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 响应报价为最终含税报价</w:t>
            </w:r>
          </w:p>
          <w:p w14:paraId="10DD047E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 同意按采购文件要求签订合同</w:t>
            </w:r>
          </w:p>
        </w:tc>
      </w:tr>
      <w:tr w14:paraId="4547D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47A8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供应商（公章）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D0BBF2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79A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5091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法定代表人（签字）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6E7D65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9F8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7930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日期 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3E98031">
            <w:pPr>
              <w:ind w:firstLine="2880" w:firstLineChars="1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 w14:paraId="48D65A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353A2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附件2：法定代表人授权书格式</w:t>
      </w:r>
    </w:p>
    <w:p w14:paraId="5BFD805F">
      <w:pPr>
        <w:keepNext/>
        <w:keepLines/>
        <w:spacing w:line="360" w:lineRule="auto"/>
        <w:jc w:val="center"/>
        <w:outlineLvl w:val="1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授权委托书(格式)</w:t>
      </w:r>
    </w:p>
    <w:p w14:paraId="7FAEA8DA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宋体" w:hAnsi="宋体" w:cs="宋体"/>
          <w:color w:val="auto"/>
          <w:kern w:val="0"/>
          <w:szCs w:val="21"/>
        </w:rPr>
      </w:pPr>
    </w:p>
    <w:p w14:paraId="72B7E270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本人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系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供应商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名称）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的法定代表人（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位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责人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，现授权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为我方代理人。代理人根据授权，以我方名义：(1)签署、澄清、补正、修改、撤回、提交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（项目名称、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编号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响应文件；(2)签署并重新提交响应文件及最后报价；(3)退出谈判（如可能）；(4)签订合同和处理有关事宜，其法律后果由我方承担。</w:t>
      </w:r>
    </w:p>
    <w:p w14:paraId="4BAD5A8A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委托期限：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。</w:t>
      </w:r>
    </w:p>
    <w:p w14:paraId="0659AD9D"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代理人无转委托权。</w:t>
      </w:r>
    </w:p>
    <w:p w14:paraId="51F43BBF"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本授权书于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日签字生效，特此声明。</w:t>
      </w:r>
    </w:p>
    <w:tbl>
      <w:tblPr>
        <w:tblStyle w:val="11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7C9E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 w14:paraId="00551515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委托代理人身份证（正面）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5222CC83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委托代理人身份证（反面）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</w:tr>
      <w:tr w14:paraId="1507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 w14:paraId="7368256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法定代表人身份证（正面）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7508DD92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法定代表人身份证（反面）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</w:tr>
    </w:tbl>
    <w:p w14:paraId="68ED867C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485182D5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0C670093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注：供应商代表不是供应商的法定代表人（单位负责人）的提供。</w:t>
      </w:r>
    </w:p>
    <w:p w14:paraId="78E8A8F0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208F6241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2C086622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供应商名称(盖单位公章)：</w:t>
      </w:r>
    </w:p>
    <w:p w14:paraId="5C9E0812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定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代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位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责人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（签字或印章）：</w:t>
      </w:r>
    </w:p>
    <w:p w14:paraId="42644F17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委托代理人（签字或印章）：</w:t>
      </w:r>
    </w:p>
    <w:p w14:paraId="1FADD2E6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  <w:sectPr>
          <w:pgSz w:w="11906" w:h="16838"/>
          <w:pgMar w:top="1418" w:right="1418" w:bottom="113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日期：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日</w:t>
      </w:r>
      <w:r>
        <w:rPr>
          <w:rFonts w:hint="eastAsia" w:ascii="仿宋" w:hAnsi="仿宋" w:eastAsia="仿宋" w:cs="仿宋"/>
          <w:color w:val="auto"/>
          <w:sz w:val="24"/>
          <w:szCs w:val="32"/>
        </w:rPr>
        <w:t xml:space="preserve"> </w:t>
      </w:r>
    </w:p>
    <w:p w14:paraId="2C96ED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附件3：报价表格式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407"/>
        <w:gridCol w:w="896"/>
        <w:gridCol w:w="2023"/>
        <w:gridCol w:w="2807"/>
      </w:tblGrid>
      <w:tr w14:paraId="21696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F2EC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B41C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品牌型号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A4A2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1E87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单价(元)</w:t>
            </w:r>
          </w:p>
        </w:tc>
        <w:tc>
          <w:tcPr>
            <w:tcW w:w="2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CE34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总价(元)</w:t>
            </w:r>
          </w:p>
        </w:tc>
      </w:tr>
      <w:tr w14:paraId="2F94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E21DA58">
            <w:pPr>
              <w:pStyle w:val="2"/>
              <w:numPr>
                <w:ilvl w:val="1"/>
                <w:numId w:val="0"/>
              </w:num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13B213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23F6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B14B11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2939B7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142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735EA47">
            <w:pPr>
              <w:pStyle w:val="2"/>
              <w:numPr>
                <w:ilvl w:val="1"/>
                <w:numId w:val="0"/>
              </w:num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1C1B26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3E35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E35AEE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70F428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F70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4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F9C7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合计（人民币大写）：</w:t>
            </w:r>
          </w:p>
        </w:tc>
        <w:tc>
          <w:tcPr>
            <w:tcW w:w="2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610D13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CF17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4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6FDA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合计（小写）：</w:t>
            </w:r>
          </w:p>
        </w:tc>
        <w:tc>
          <w:tcPr>
            <w:tcW w:w="2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C074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¥</w:t>
            </w:r>
          </w:p>
        </w:tc>
      </w:tr>
      <w:tr w14:paraId="1BFF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1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CFB2E3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报价说明：</w:t>
            </w:r>
          </w:p>
          <w:p w14:paraId="41D853F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 以上报价包含设备费、运输费、安装调试费、培训费等一切费用</w:t>
            </w:r>
          </w:p>
          <w:p w14:paraId="3570B636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 报价为最终含税价</w:t>
            </w:r>
          </w:p>
        </w:tc>
      </w:tr>
      <w:tr w14:paraId="11A9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1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45AE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供应商（公章）：</w:t>
            </w:r>
          </w:p>
        </w:tc>
      </w:tr>
    </w:tbl>
    <w:p w14:paraId="5EB803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427DA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358B9C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DC3DC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CF111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179BB2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CA9DF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1226F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1AC79E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附件4：技术参数响应表格式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721"/>
        <w:gridCol w:w="1722"/>
        <w:gridCol w:w="1721"/>
        <w:gridCol w:w="2208"/>
      </w:tblGrid>
      <w:tr w14:paraId="3E87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E32B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EBF7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4043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采购要求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BBDC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响应情况</w:t>
            </w: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195C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70224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5008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4818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FC67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FCD608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69C86B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7D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D655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F944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E3C3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111CB1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41CA0F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CAB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C581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76D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D35E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25F805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38AC17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AD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ABC7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E95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0C81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2A63D9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DCCCBF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99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7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123E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注：响应情况请填写"满足"或"不满足"，并填写相应佐证说明。</w:t>
            </w:r>
          </w:p>
        </w:tc>
      </w:tr>
    </w:tbl>
    <w:p w14:paraId="1DBED92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240" w:leftChars="0" w:right="0" w:rightChars="0"/>
        <w:rPr>
          <w:rFonts w:hint="eastAsia" w:ascii="仿宋" w:hAnsi="仿宋" w:eastAsia="仿宋" w:cs="仿宋"/>
        </w:rPr>
      </w:pPr>
    </w:p>
    <w:p w14:paraId="749602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444D14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5BB5BB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2F16D8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0BBF26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13D15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85836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188016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C77F0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25FDA8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5B7E11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附件5：商务条款响应表格式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838"/>
        <w:gridCol w:w="1911"/>
        <w:gridCol w:w="1415"/>
        <w:gridCol w:w="2208"/>
      </w:tblGrid>
      <w:tr w14:paraId="538C4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65C4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8748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商务条款内容</w:t>
            </w:r>
          </w:p>
        </w:tc>
        <w:tc>
          <w:tcPr>
            <w:tcW w:w="19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0F2D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招标文件要求</w:t>
            </w: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D9C5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响应情况</w:t>
            </w: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994F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4841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C995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C182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B9CD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59C906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0F3552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551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E01A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D340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3DEC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99B7B8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8EC666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73D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598C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68F7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2D13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80AC33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025B0A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C04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E5CD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0955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D4E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96CD54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A3CF62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8D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7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C742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注：响应情况请填写“满足”或“不满足”，并填写相应佐证说明。</w:t>
            </w:r>
          </w:p>
        </w:tc>
      </w:tr>
    </w:tbl>
    <w:p w14:paraId="288D0C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07AEE0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51184B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697DF9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0EAD9D18">
      <w:pPr>
        <w:pStyle w:val="2"/>
        <w:numPr>
          <w:ilvl w:val="1"/>
          <w:numId w:val="0"/>
        </w:numPr>
        <w:rPr>
          <w:rFonts w:hint="eastAsia"/>
          <w:lang w:val="en-US" w:eastAsia="zh-CN"/>
        </w:rPr>
      </w:pPr>
    </w:p>
    <w:p w14:paraId="7628F6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4C85E9D5">
      <w:pPr>
        <w:pStyle w:val="2"/>
        <w:numPr>
          <w:ilvl w:val="1"/>
          <w:numId w:val="0"/>
        </w:numPr>
        <w:ind w:left="1134" w:leftChars="0"/>
        <w:rPr>
          <w:rFonts w:hint="eastAsia"/>
          <w:lang w:val="en-US" w:eastAsia="zh-CN"/>
        </w:rPr>
      </w:pPr>
    </w:p>
    <w:p w14:paraId="4457D59F">
      <w:pPr>
        <w:pStyle w:val="4"/>
        <w:rPr>
          <w:rFonts w:hint="eastAsia"/>
          <w:lang w:val="en-US" w:eastAsia="zh-CN"/>
        </w:rPr>
      </w:pPr>
    </w:p>
    <w:p w14:paraId="533FA827">
      <w:pPr>
        <w:pStyle w:val="4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5A68B62E">
      <w:pPr>
        <w:pStyle w:val="4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2BDE938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邵阳学院附属第二医院国有资产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管理办公室</w:t>
      </w:r>
    </w:p>
    <w:p w14:paraId="25304C3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地址：湖南省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邵阳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宝庆西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路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 xml:space="preserve">号    </w:t>
      </w:r>
    </w:p>
    <w:p w14:paraId="44B1D2EB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邮编：4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000</w:t>
      </w:r>
    </w:p>
    <w:p w14:paraId="63E5106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电话：073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5270379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 xml:space="preserve">   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389CA"/>
    <w:multiLevelType w:val="multilevel"/>
    <w:tmpl w:val="9CC389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80E7F28"/>
    <w:multiLevelType w:val="multilevel"/>
    <w:tmpl w:val="D80E7F2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04247E1C"/>
    <w:multiLevelType w:val="multilevel"/>
    <w:tmpl w:val="04247E1C"/>
    <w:lvl w:ilvl="0" w:tentative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pStyle w:val="2"/>
      <w:lvlText w:val="%2)"/>
      <w:lvlJc w:val="left"/>
      <w:pPr>
        <w:ind w:left="1554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22447551"/>
    <w:multiLevelType w:val="multilevel"/>
    <w:tmpl w:val="224475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2D001E11"/>
    <w:multiLevelType w:val="multilevel"/>
    <w:tmpl w:val="2D001E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48D2D1B7"/>
    <w:multiLevelType w:val="multilevel"/>
    <w:tmpl w:val="48D2D1B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748D16CD"/>
    <w:multiLevelType w:val="multilevel"/>
    <w:tmpl w:val="748D16CD"/>
    <w:lvl w:ilvl="0" w:tentative="0">
      <w:start w:val="1"/>
      <w:numFmt w:val="decimal"/>
      <w:pStyle w:val="3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7">
    <w:nsid w:val="7522A1AD"/>
    <w:multiLevelType w:val="multilevel"/>
    <w:tmpl w:val="7522A1A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74ACC"/>
    <w:rsid w:val="030F42DA"/>
    <w:rsid w:val="03C40A7E"/>
    <w:rsid w:val="04E15802"/>
    <w:rsid w:val="06400C4E"/>
    <w:rsid w:val="066466EB"/>
    <w:rsid w:val="075A189C"/>
    <w:rsid w:val="07B23486"/>
    <w:rsid w:val="0A4505E1"/>
    <w:rsid w:val="0A4D56E8"/>
    <w:rsid w:val="0DBC0BBA"/>
    <w:rsid w:val="0DC67C8B"/>
    <w:rsid w:val="0DEB5944"/>
    <w:rsid w:val="0FB44675"/>
    <w:rsid w:val="1367781A"/>
    <w:rsid w:val="13B5667C"/>
    <w:rsid w:val="15AC59B8"/>
    <w:rsid w:val="17011D34"/>
    <w:rsid w:val="1A081F48"/>
    <w:rsid w:val="1A1B310D"/>
    <w:rsid w:val="1CC63804"/>
    <w:rsid w:val="1D6B6159"/>
    <w:rsid w:val="1F5A0233"/>
    <w:rsid w:val="20E73D48"/>
    <w:rsid w:val="234E4553"/>
    <w:rsid w:val="258B7398"/>
    <w:rsid w:val="25E371D4"/>
    <w:rsid w:val="26976637"/>
    <w:rsid w:val="27693709"/>
    <w:rsid w:val="2B1020EE"/>
    <w:rsid w:val="2B2838DB"/>
    <w:rsid w:val="2B821CFF"/>
    <w:rsid w:val="2E954DE4"/>
    <w:rsid w:val="2F2D0876"/>
    <w:rsid w:val="31C932A6"/>
    <w:rsid w:val="320D7387"/>
    <w:rsid w:val="330B7D6A"/>
    <w:rsid w:val="3310712F"/>
    <w:rsid w:val="33D21FDE"/>
    <w:rsid w:val="346F257B"/>
    <w:rsid w:val="34E34015"/>
    <w:rsid w:val="35D95EFE"/>
    <w:rsid w:val="36302256"/>
    <w:rsid w:val="37D50947"/>
    <w:rsid w:val="391B05DB"/>
    <w:rsid w:val="3AFD268F"/>
    <w:rsid w:val="3FC27A03"/>
    <w:rsid w:val="402E32EA"/>
    <w:rsid w:val="40B25CC9"/>
    <w:rsid w:val="45AD2F03"/>
    <w:rsid w:val="45C1250B"/>
    <w:rsid w:val="46761547"/>
    <w:rsid w:val="46BF2EEE"/>
    <w:rsid w:val="46FF32EA"/>
    <w:rsid w:val="474F4272"/>
    <w:rsid w:val="48AC74A2"/>
    <w:rsid w:val="4D1A0E7E"/>
    <w:rsid w:val="4E065B01"/>
    <w:rsid w:val="4FB1539E"/>
    <w:rsid w:val="52524C16"/>
    <w:rsid w:val="5630526E"/>
    <w:rsid w:val="58093FC9"/>
    <w:rsid w:val="586B07E0"/>
    <w:rsid w:val="59AA17DC"/>
    <w:rsid w:val="59F34F31"/>
    <w:rsid w:val="5A9B2ED2"/>
    <w:rsid w:val="5C2E04A2"/>
    <w:rsid w:val="5C7B745F"/>
    <w:rsid w:val="5DCD7847"/>
    <w:rsid w:val="5E916AC6"/>
    <w:rsid w:val="5F36420B"/>
    <w:rsid w:val="6100476F"/>
    <w:rsid w:val="61CB6793"/>
    <w:rsid w:val="652F0DE7"/>
    <w:rsid w:val="661F70AE"/>
    <w:rsid w:val="6B4F21E3"/>
    <w:rsid w:val="6BC54253"/>
    <w:rsid w:val="6CE93F71"/>
    <w:rsid w:val="6DC522E8"/>
    <w:rsid w:val="6EDD3662"/>
    <w:rsid w:val="6F5558EE"/>
    <w:rsid w:val="6FAD572A"/>
    <w:rsid w:val="71EF3DD8"/>
    <w:rsid w:val="750445C0"/>
    <w:rsid w:val="765661D4"/>
    <w:rsid w:val="7C7C5B04"/>
    <w:rsid w:val="7C907F65"/>
    <w:rsid w:val="7DAA63C6"/>
    <w:rsid w:val="7E7C69F3"/>
    <w:rsid w:val="7F8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言二级条标题"/>
    <w:basedOn w:val="3"/>
    <w:next w:val="4"/>
    <w:qFormat/>
    <w:uiPriority w:val="0"/>
    <w:pPr>
      <w:numPr>
        <w:ilvl w:val="1"/>
        <w:numId w:val="1"/>
      </w:numPr>
      <w:tabs>
        <w:tab w:val="left" w:pos="360"/>
        <w:tab w:val="left" w:pos="1200"/>
      </w:tabs>
    </w:pPr>
    <w:rPr>
      <w:szCs w:val="20"/>
    </w:rPr>
  </w:style>
  <w:style w:type="paragraph" w:customStyle="1" w:styleId="3">
    <w:name w:val="引言一级条标题"/>
    <w:basedOn w:val="1"/>
    <w:next w:val="4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8">
    <w:name w:val="endnote text"/>
    <w:basedOn w:val="1"/>
    <w:unhideWhenUsed/>
    <w:qFormat/>
    <w:uiPriority w:val="99"/>
    <w:pPr>
      <w:snapToGrid w:val="0"/>
      <w:jc w:val="left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7"/>
    <w:qFormat/>
    <w:uiPriority w:val="0"/>
    <w:pPr>
      <w:ind w:firstLine="420" w:firstLineChars="100"/>
    </w:pPr>
    <w:rPr>
      <w:sz w:val="24"/>
    </w:r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1901</Words>
  <Characters>2045</Characters>
  <Lines>0</Lines>
  <Paragraphs>0</Paragraphs>
  <TotalTime>3</TotalTime>
  <ScaleCrop>false</ScaleCrop>
  <LinksUpToDate>false</LinksUpToDate>
  <CharactersWithSpaces>2054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2025-06-17T00:59:00Z</dcterms:created>
  <dc:creator>Administrator</dc:creator>
  <cp:lastModifiedBy>Leslie</cp:lastModifiedBy>
  <dcterms:modified xsi:type="dcterms:W3CDTF">2025-08-19T07:13:51Z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eyJoZGlkIjoiNzk3OWNmODIyYjYyMjI1ODczMjA3NWMxNzk0ZTg5YmUiLCJ1c2VySWQiOiIzMzcxNDI2NTkifQ==</vt:lpwstr>
  </property>
  <property fmtid="{D5CDD505-2E9C-101B-9397-08002B2CF9AE}" pid="4" name="ICV">
    <vt:lpwstr>7684AF8160704634871DFDFDC7FA89CD_13</vt:lpwstr>
  </property>
</Properties>
</file>