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Ansi="黑体"/>
          <w:sz w:val="36"/>
          <w:szCs w:val="36"/>
          <w:highlight w:val="none"/>
        </w:rPr>
      </w:pPr>
      <w:r>
        <w:rPr>
          <w:rFonts w:hint="eastAsia" w:hAnsi="黑体"/>
          <w:sz w:val="36"/>
          <w:szCs w:val="36"/>
          <w:highlight w:val="none"/>
        </w:rPr>
        <w:t>附件1</w:t>
      </w:r>
    </w:p>
    <w:p>
      <w:pPr>
        <w:pStyle w:val="3"/>
        <w:jc w:val="center"/>
        <w:rPr>
          <w:rFonts w:ascii="Times New Roman" w:hAnsi="Times New Roman" w:cs="Times New Roman"/>
          <w:sz w:val="56"/>
          <w:szCs w:val="56"/>
          <w:highlight w:val="none"/>
        </w:rPr>
      </w:pPr>
    </w:p>
    <w:p>
      <w:pPr>
        <w:pStyle w:val="3"/>
        <w:jc w:val="center"/>
        <w:rPr>
          <w:rFonts w:ascii="Times New Roman" w:hAnsi="Times New Roman" w:cs="Times New Roman"/>
          <w:sz w:val="84"/>
          <w:szCs w:val="84"/>
          <w:highlight w:val="none"/>
        </w:rPr>
      </w:pPr>
    </w:p>
    <w:p>
      <w:pPr>
        <w:pStyle w:val="3"/>
        <w:jc w:val="center"/>
        <w:rPr>
          <w:rFonts w:ascii="Times New Roman" w:hAnsi="Times New Roman" w:cs="Times New Roman"/>
          <w:sz w:val="84"/>
          <w:szCs w:val="84"/>
          <w:highlight w:val="none"/>
        </w:rPr>
      </w:pPr>
    </w:p>
    <w:p>
      <w:pPr>
        <w:pStyle w:val="3"/>
        <w:jc w:val="center"/>
        <w:rPr>
          <w:rFonts w:ascii="Times New Roman" w:hAnsi="Times New Roman" w:eastAsia="方正小标宋简体" w:cs="Times New Roman"/>
          <w:sz w:val="72"/>
          <w:szCs w:val="72"/>
          <w:highlight w:val="none"/>
        </w:rPr>
      </w:pPr>
      <w:r>
        <w:rPr>
          <w:rFonts w:ascii="Times New Roman" w:hAnsi="Times New Roman" w:eastAsia="方正小标宋简体" w:cs="Times New Roman"/>
          <w:sz w:val="72"/>
          <w:szCs w:val="72"/>
          <w:highlight w:val="none"/>
        </w:rPr>
        <w:t>2024年度</w:t>
      </w:r>
    </w:p>
    <w:p>
      <w:pPr>
        <w:pStyle w:val="3"/>
        <w:jc w:val="center"/>
        <w:rPr>
          <w:rFonts w:ascii="Times New Roman" w:hAnsi="Times New Roman" w:eastAsia="方正小标宋简体" w:cs="Times New Roman"/>
          <w:sz w:val="72"/>
          <w:szCs w:val="72"/>
          <w:highlight w:val="none"/>
        </w:rPr>
      </w:pPr>
      <w:r>
        <w:rPr>
          <w:rFonts w:hint="eastAsia" w:ascii="Times New Roman" w:hAnsi="Times New Roman" w:eastAsia="方正小标宋简体" w:cs="Times New Roman"/>
          <w:sz w:val="72"/>
          <w:szCs w:val="72"/>
          <w:highlight w:val="none"/>
          <w:lang w:val="en-US" w:eastAsia="zh-CN"/>
        </w:rPr>
        <w:t>邵阳学院附属第二医院</w:t>
      </w:r>
      <w:r>
        <w:rPr>
          <w:rFonts w:ascii="Times New Roman" w:hAnsi="Times New Roman" w:eastAsia="方正小标宋简体" w:cs="Times New Roman"/>
          <w:sz w:val="72"/>
          <w:szCs w:val="72"/>
          <w:highlight w:val="none"/>
        </w:rPr>
        <w:t>部门决算</w:t>
      </w:r>
    </w:p>
    <w:p>
      <w:pPr>
        <w:rPr>
          <w:rFonts w:ascii="Times New Roman" w:hAnsi="Times New Roman" w:cs="Times New Roman"/>
          <w:b/>
          <w:sz w:val="36"/>
          <w:szCs w:val="28"/>
          <w:highlight w:val="none"/>
        </w:rPr>
        <w:sectPr>
          <w:pgSz w:w="11906" w:h="16838"/>
          <w:pgMar w:top="1417" w:right="1588" w:bottom="1417" w:left="1588" w:header="851" w:footer="992" w:gutter="0"/>
          <w:cols w:space="425" w:num="1"/>
          <w:docGrid w:type="lines" w:linePitch="312" w:charSpace="0"/>
        </w:sectPr>
      </w:pPr>
    </w:p>
    <w:p>
      <w:pPr>
        <w:pStyle w:val="3"/>
        <w:spacing w:line="600" w:lineRule="exact"/>
        <w:jc w:val="both"/>
        <w:rPr>
          <w:rFonts w:ascii="Times New Roman" w:hAnsi="Times New Roman" w:cs="Times New Roman"/>
          <w:b/>
          <w:sz w:val="36"/>
          <w:szCs w:val="28"/>
          <w:highlight w:val="none"/>
        </w:rPr>
      </w:pPr>
    </w:p>
    <w:p>
      <w:pPr>
        <w:pStyle w:val="3"/>
        <w:spacing w:line="600" w:lineRule="exact"/>
        <w:jc w:val="center"/>
        <w:rPr>
          <w:rFonts w:ascii="Times New Roman" w:hAnsi="Times New Roman" w:cs="Times New Roman"/>
          <w:bCs/>
          <w:sz w:val="36"/>
          <w:szCs w:val="28"/>
          <w:highlight w:val="none"/>
        </w:rPr>
      </w:pPr>
      <w:r>
        <w:rPr>
          <w:rFonts w:ascii="Times New Roman" w:hAnsi="Times New Roman" w:cs="Times New Roman"/>
          <w:bCs/>
          <w:sz w:val="36"/>
          <w:szCs w:val="28"/>
          <w:highlight w:val="none"/>
        </w:rPr>
        <w:t>目  录</w:t>
      </w:r>
    </w:p>
    <w:p>
      <w:pPr>
        <w:pStyle w:val="3"/>
        <w:spacing w:line="600" w:lineRule="exact"/>
        <w:jc w:val="center"/>
        <w:rPr>
          <w:rFonts w:ascii="Times New Roman" w:hAnsi="Times New Roman" w:cs="Times New Roman"/>
          <w:b/>
          <w:sz w:val="36"/>
          <w:szCs w:val="28"/>
          <w:highlight w:val="none"/>
        </w:rPr>
      </w:pPr>
    </w:p>
    <w:p>
      <w:pPr>
        <w:pStyle w:val="3"/>
        <w:spacing w:after="156" w:afterLines="50" w:line="600" w:lineRule="exact"/>
        <w:rPr>
          <w:rFonts w:ascii="Times New Roman" w:hAnsi="Times New Roman" w:cs="Times New Roman"/>
          <w:bCs/>
          <w:sz w:val="32"/>
          <w:szCs w:val="32"/>
          <w:highlight w:val="none"/>
        </w:rPr>
      </w:pPr>
      <w:r>
        <w:rPr>
          <w:rFonts w:ascii="Times New Roman" w:hAnsi="Times New Roman" w:cs="Times New Roman"/>
          <w:bCs/>
          <w:sz w:val="32"/>
          <w:szCs w:val="32"/>
          <w:highlight w:val="none"/>
        </w:rPr>
        <w:t>第一部分</w:t>
      </w:r>
      <w:r>
        <w:rPr>
          <w:rFonts w:hint="eastAsia" w:ascii="Times New Roman" w:hAnsi="Times New Roman" w:cs="Times New Roman"/>
          <w:bCs/>
          <w:sz w:val="32"/>
          <w:szCs w:val="32"/>
          <w:highlight w:val="none"/>
          <w:lang w:val="en-US" w:eastAsia="zh-CN"/>
        </w:rPr>
        <w:t xml:space="preserve"> 邵阳学院附属第二医院</w:t>
      </w:r>
      <w:r>
        <w:rPr>
          <w:rFonts w:ascii="Times New Roman" w:hAnsi="Times New Roman" w:cs="Times New Roman"/>
          <w:bCs/>
          <w:sz w:val="32"/>
          <w:szCs w:val="32"/>
          <w:highlight w:val="none"/>
        </w:rPr>
        <w:t>概况</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一、部门职责</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二、机构设置及决算单位构成</w:t>
      </w:r>
    </w:p>
    <w:p>
      <w:pPr>
        <w:pStyle w:val="3"/>
        <w:spacing w:before="156" w:beforeLines="50" w:after="156" w:afterLines="50" w:line="600" w:lineRule="exact"/>
        <w:rPr>
          <w:rFonts w:ascii="Times New Roman" w:hAnsi="Times New Roman" w:cs="Times New Roman"/>
          <w:bCs/>
          <w:sz w:val="32"/>
          <w:szCs w:val="32"/>
          <w:highlight w:val="none"/>
        </w:rPr>
      </w:pPr>
      <w:r>
        <w:rPr>
          <w:rFonts w:ascii="Times New Roman" w:hAnsi="Times New Roman" w:cs="Times New Roman"/>
          <w:bCs/>
          <w:sz w:val="32"/>
          <w:szCs w:val="32"/>
          <w:highlight w:val="none"/>
        </w:rPr>
        <w:t>第二部分 部门决算表</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一、收入支出决算总表</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二、收入决算表</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三、支出决算表</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四、财政拨款收入支出决算总表</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五、一般公共预算财政拨款支出决算表</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六、一般公共预算财政拨款基本支出决算明细表</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七、政府性基金预算财政拨款收入支出决算表</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八、国有资本经营预算财政拨款支出决算表</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九、财政拨款“三公”经费支出决算表</w:t>
      </w:r>
    </w:p>
    <w:p>
      <w:pPr>
        <w:pStyle w:val="3"/>
        <w:spacing w:before="156" w:beforeLines="50" w:after="156" w:afterLines="50" w:line="600" w:lineRule="exact"/>
        <w:rPr>
          <w:rFonts w:ascii="Times New Roman" w:hAnsi="Times New Roman" w:cs="Times New Roman"/>
          <w:bCs/>
          <w:sz w:val="32"/>
          <w:szCs w:val="32"/>
          <w:highlight w:val="none"/>
        </w:rPr>
      </w:pPr>
      <w:r>
        <w:rPr>
          <w:rFonts w:ascii="Times New Roman" w:hAnsi="Times New Roman" w:cs="Times New Roman"/>
          <w:bCs/>
          <w:sz w:val="32"/>
          <w:szCs w:val="32"/>
          <w:highlight w:val="none"/>
        </w:rPr>
        <w:t>第三部分 部门决算情况说明</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一、收入支出决算总体情况说明</w:t>
      </w:r>
    </w:p>
    <w:p>
      <w:pPr>
        <w:spacing w:line="600" w:lineRule="exact"/>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highlight w:val="none"/>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十一、关于政府采购支出说明</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十二、关于国有资产占用情况说明</w:t>
      </w:r>
    </w:p>
    <w:p>
      <w:pPr>
        <w:pStyle w:val="3"/>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十三、关于2024年度预算绩效管理情况的说明</w:t>
      </w:r>
    </w:p>
    <w:p>
      <w:pPr>
        <w:pStyle w:val="3"/>
        <w:spacing w:before="156" w:beforeLines="50" w:after="156" w:afterLines="50" w:line="600" w:lineRule="exact"/>
        <w:rPr>
          <w:rFonts w:ascii="Times New Roman" w:hAnsi="Times New Roman" w:cs="Times New Roman"/>
          <w:bCs/>
          <w:sz w:val="32"/>
          <w:szCs w:val="32"/>
          <w:highlight w:val="none"/>
        </w:rPr>
      </w:pPr>
      <w:r>
        <w:rPr>
          <w:rFonts w:ascii="Times New Roman" w:hAnsi="Times New Roman" w:cs="Times New Roman"/>
          <w:bCs/>
          <w:sz w:val="32"/>
          <w:szCs w:val="32"/>
          <w:highlight w:val="none"/>
        </w:rPr>
        <w:t>第四部分 名词解释</w:t>
      </w:r>
    </w:p>
    <w:p>
      <w:pPr>
        <w:pStyle w:val="3"/>
        <w:spacing w:before="156" w:beforeLines="50" w:after="156" w:afterLines="50" w:line="600" w:lineRule="exact"/>
        <w:rPr>
          <w:rFonts w:ascii="Times New Roman" w:hAnsi="Times New Roman" w:cs="Times New Roman"/>
          <w:bCs/>
          <w:sz w:val="32"/>
          <w:szCs w:val="32"/>
          <w:highlight w:val="none"/>
        </w:rPr>
      </w:pPr>
      <w:r>
        <w:rPr>
          <w:rFonts w:ascii="Times New Roman" w:hAnsi="Times New Roman" w:cs="Times New Roman"/>
          <w:bCs/>
          <w:sz w:val="32"/>
          <w:szCs w:val="32"/>
          <w:highlight w:val="none"/>
        </w:rPr>
        <w:t>第五部分 附件</w:t>
      </w:r>
    </w:p>
    <w:p>
      <w:pPr>
        <w:pStyle w:val="3"/>
        <w:spacing w:line="600" w:lineRule="exact"/>
        <w:rPr>
          <w:rFonts w:ascii="Times New Roman" w:hAnsi="Times New Roman" w:cs="Times New Roman"/>
          <w:bCs/>
          <w:sz w:val="28"/>
          <w:szCs w:val="28"/>
          <w:highlight w:val="none"/>
        </w:rPr>
      </w:pPr>
    </w:p>
    <w:p>
      <w:pPr>
        <w:jc w:val="center"/>
        <w:rPr>
          <w:rFonts w:ascii="Times New Roman" w:hAnsi="Times New Roman" w:cs="Times New Roman"/>
          <w:sz w:val="72"/>
          <w:szCs w:val="72"/>
          <w:highlight w:val="none"/>
        </w:rPr>
      </w:pPr>
    </w:p>
    <w:p>
      <w:pPr>
        <w:jc w:val="center"/>
        <w:rPr>
          <w:rFonts w:ascii="Times New Roman" w:hAnsi="Times New Roman" w:cs="Times New Roman"/>
          <w:sz w:val="72"/>
          <w:szCs w:val="72"/>
          <w:highlight w:val="none"/>
        </w:rPr>
      </w:pPr>
    </w:p>
    <w:p>
      <w:pPr>
        <w:jc w:val="center"/>
        <w:rPr>
          <w:rFonts w:ascii="Times New Roman" w:hAnsi="Times New Roman" w:cs="Times New Roman"/>
          <w:sz w:val="72"/>
          <w:szCs w:val="72"/>
          <w:highlight w:val="none"/>
        </w:rPr>
      </w:pPr>
    </w:p>
    <w:p>
      <w:pPr>
        <w:pStyle w:val="11"/>
        <w:rPr>
          <w:rFonts w:ascii="Times New Roman" w:hAnsi="Times New Roman" w:cs="Times New Roman"/>
          <w:highlight w:val="none"/>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highlight w:val="none"/>
        </w:rPr>
      </w:pPr>
    </w:p>
    <w:p>
      <w:pPr>
        <w:pStyle w:val="3"/>
        <w:spacing w:line="360" w:lineRule="auto"/>
        <w:jc w:val="center"/>
        <w:rPr>
          <w:rFonts w:ascii="Times New Roman" w:hAnsi="Times New Roman" w:eastAsia="方正小标宋_GBK" w:cs="Times New Roman"/>
          <w:sz w:val="52"/>
          <w:szCs w:val="52"/>
          <w:highlight w:val="none"/>
        </w:rPr>
      </w:pPr>
      <w:r>
        <w:rPr>
          <w:rFonts w:ascii="Times New Roman" w:hAnsi="Times New Roman" w:eastAsia="方正小标宋_GBK" w:cs="Times New Roman"/>
          <w:sz w:val="52"/>
          <w:szCs w:val="52"/>
          <w:highlight w:val="none"/>
        </w:rPr>
        <w:t>第一部分</w:t>
      </w:r>
    </w:p>
    <w:p>
      <w:pPr>
        <w:pStyle w:val="3"/>
        <w:spacing w:line="360" w:lineRule="auto"/>
        <w:jc w:val="center"/>
        <w:rPr>
          <w:rFonts w:ascii="Times New Roman" w:hAnsi="Times New Roman" w:eastAsia="方正小标宋_GBK" w:cs="Times New Roman"/>
          <w:sz w:val="52"/>
          <w:szCs w:val="52"/>
          <w:highlight w:val="none"/>
        </w:rPr>
      </w:pPr>
      <w:r>
        <w:rPr>
          <w:rFonts w:hint="eastAsia" w:ascii="Times New Roman" w:hAnsi="Times New Roman" w:eastAsia="方正小标宋_GBK" w:cs="Times New Roman"/>
          <w:sz w:val="52"/>
          <w:szCs w:val="52"/>
          <w:highlight w:val="none"/>
          <w:lang w:val="en-US" w:eastAsia="zh-CN"/>
        </w:rPr>
        <w:t>邵阳学院附属第二医院</w:t>
      </w:r>
      <w:r>
        <w:rPr>
          <w:rFonts w:ascii="Times New Roman" w:hAnsi="Times New Roman" w:eastAsia="方正小标宋_GBK" w:cs="Times New Roman"/>
          <w:sz w:val="52"/>
          <w:szCs w:val="52"/>
          <w:highlight w:val="none"/>
        </w:rPr>
        <w:t>概况</w:t>
      </w:r>
    </w:p>
    <w:p>
      <w:pPr>
        <w:pStyle w:val="12"/>
        <w:ind w:left="0" w:leftChars="0" w:firstLine="0" w:firstLineChars="0"/>
        <w:rPr>
          <w:rFonts w:ascii="Times New Roman" w:hAnsi="Times New Roman" w:cs="Times New Roman"/>
          <w:highlight w:val="none"/>
        </w:rPr>
      </w:pPr>
    </w:p>
    <w:p>
      <w:pPr>
        <w:pStyle w:val="18"/>
        <w:spacing w:line="600" w:lineRule="exact"/>
        <w:ind w:firstLine="0" w:firstLineChars="0"/>
        <w:jc w:val="left"/>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一、</w:t>
      </w:r>
      <w:r>
        <w:rPr>
          <w:rFonts w:ascii="Times New Roman" w:hAnsi="Times New Roman" w:eastAsia="黑体" w:cs="Times New Roman"/>
          <w:sz w:val="32"/>
          <w:szCs w:val="32"/>
          <w:highlight w:val="none"/>
        </w:rPr>
        <w:t>部门职责</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Times New Roman" w:hAnsi="Times New Roman" w:eastAsia="仿宋_GB2312" w:cs="仿宋_GB2312"/>
          <w:bCs/>
          <w:color w:val="auto"/>
          <w:kern w:val="0"/>
          <w:sz w:val="32"/>
          <w:szCs w:val="32"/>
          <w:highlight w:val="none"/>
          <w:lang w:val="en-US" w:eastAsia="zh-CN" w:bidi="ar-SA"/>
        </w:rPr>
      </w:pPr>
      <w:r>
        <w:rPr>
          <w:rFonts w:ascii="Times New Roman" w:hAnsi="Times New Roman" w:eastAsia="仿宋_GB2312" w:cs="Times New Roman"/>
          <w:sz w:val="32"/>
          <w:szCs w:val="32"/>
          <w:highlight w:val="none"/>
        </w:rPr>
        <w:t>（一）</w:t>
      </w:r>
      <w:r>
        <w:rPr>
          <w:rFonts w:hint="eastAsia" w:ascii="Times New Roman" w:hAnsi="Times New Roman" w:eastAsia="仿宋_GB2312" w:cs="仿宋_GB2312"/>
          <w:bCs/>
          <w:color w:val="auto"/>
          <w:kern w:val="0"/>
          <w:sz w:val="32"/>
          <w:szCs w:val="32"/>
          <w:highlight w:val="none"/>
          <w:lang w:val="en-US" w:eastAsia="zh-CN" w:bidi="ar-SA"/>
        </w:rPr>
        <w:t>贯彻落实新时期我国卫生与健康工作方针，坚持公益性，保障人民群众健康，推动医院各方面工作健康发展。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Times New Roman" w:hAnsi="Times New Roman" w:eastAsia="仿宋_GB2312" w:cs="仿宋_GB2312"/>
          <w:bCs/>
          <w:color w:val="auto"/>
          <w:kern w:val="0"/>
          <w:sz w:val="32"/>
          <w:szCs w:val="32"/>
          <w:highlight w:val="none"/>
          <w:lang w:val="en-US" w:eastAsia="zh-CN" w:bidi="ar-SA"/>
        </w:rPr>
      </w:pPr>
      <w:r>
        <w:rPr>
          <w:rFonts w:hint="eastAsia" w:ascii="Times New Roman" w:hAnsi="Times New Roman" w:eastAsia="仿宋_GB2312" w:cs="仿宋_GB2312"/>
          <w:bCs/>
          <w:color w:val="auto"/>
          <w:kern w:val="0"/>
          <w:sz w:val="32"/>
          <w:szCs w:val="32"/>
          <w:highlight w:val="none"/>
          <w:lang w:val="en-US" w:eastAsia="zh-CN" w:bidi="ar-SA"/>
        </w:rPr>
        <w:t>（二）为人民群众提供医疗保健、疾病预防、健康教育、健康科普等医疗和一定的公共卫生服务。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Times New Roman" w:hAnsi="Times New Roman" w:eastAsia="仿宋_GB2312" w:cs="仿宋_GB2312"/>
          <w:bCs/>
          <w:color w:val="auto"/>
          <w:kern w:val="0"/>
          <w:sz w:val="32"/>
          <w:szCs w:val="32"/>
          <w:highlight w:val="none"/>
          <w:lang w:val="en-US" w:eastAsia="zh-CN" w:bidi="ar-SA"/>
        </w:rPr>
      </w:pPr>
      <w:r>
        <w:rPr>
          <w:rFonts w:hint="eastAsia" w:ascii="Times New Roman" w:hAnsi="Times New Roman" w:eastAsia="仿宋_GB2312" w:cs="仿宋_GB2312"/>
          <w:bCs/>
          <w:color w:val="auto"/>
          <w:kern w:val="0"/>
          <w:sz w:val="32"/>
          <w:szCs w:val="32"/>
          <w:highlight w:val="none"/>
          <w:lang w:val="en-US" w:eastAsia="zh-CN" w:bidi="ar-SA"/>
        </w:rPr>
        <w:t>（三）承担院校医学教育、毕业后医学教育（住院医师规范化培训）和继续医学教育，不断提升医学人才能力素质和工作水平。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Times New Roman" w:hAnsi="Times New Roman" w:eastAsia="仿宋_GB2312" w:cs="仿宋_GB2312"/>
          <w:bCs/>
          <w:color w:val="auto"/>
          <w:kern w:val="0"/>
          <w:sz w:val="32"/>
          <w:szCs w:val="32"/>
          <w:highlight w:val="none"/>
          <w:lang w:val="en-US" w:eastAsia="zh-CN" w:bidi="ar-SA"/>
        </w:rPr>
      </w:pPr>
      <w:r>
        <w:rPr>
          <w:rFonts w:hint="eastAsia" w:ascii="Times New Roman" w:hAnsi="Times New Roman" w:eastAsia="仿宋_GB2312" w:cs="仿宋_GB2312"/>
          <w:bCs/>
          <w:color w:val="auto"/>
          <w:kern w:val="0"/>
          <w:sz w:val="32"/>
          <w:szCs w:val="32"/>
          <w:highlight w:val="none"/>
          <w:lang w:val="en-US" w:eastAsia="zh-CN" w:bidi="ar-SA"/>
        </w:rPr>
        <w:t>（四）开展临床医学和基础医学研究，推动医学科技成果转化。</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Times New Roman" w:hAnsi="Times New Roman" w:eastAsia="仿宋_GB2312" w:cs="仿宋_GB2312"/>
          <w:bCs/>
          <w:color w:val="auto"/>
          <w:kern w:val="0"/>
          <w:sz w:val="32"/>
          <w:szCs w:val="32"/>
          <w:highlight w:val="none"/>
          <w:lang w:val="en-US" w:eastAsia="zh-CN" w:bidi="ar-SA"/>
        </w:rPr>
      </w:pPr>
      <w:r>
        <w:rPr>
          <w:rFonts w:hint="eastAsia" w:ascii="Times New Roman" w:hAnsi="Times New Roman" w:eastAsia="仿宋_GB2312" w:cs="仿宋_GB2312"/>
          <w:bCs/>
          <w:color w:val="auto"/>
          <w:kern w:val="0"/>
          <w:sz w:val="32"/>
          <w:szCs w:val="32"/>
          <w:highlight w:val="none"/>
          <w:lang w:val="en-US" w:eastAsia="zh-CN" w:bidi="ar-SA"/>
        </w:rPr>
        <w:t>（五）按照省人民政府和有关部门批准的范围开展对外技术交流和国际合作。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Times New Roman" w:hAnsi="Times New Roman" w:eastAsia="仿宋_GB2312" w:cs="仿宋_GB2312"/>
          <w:bCs/>
          <w:color w:val="auto"/>
          <w:kern w:val="0"/>
          <w:sz w:val="32"/>
          <w:szCs w:val="32"/>
          <w:highlight w:val="none"/>
          <w:lang w:val="en-US" w:eastAsia="zh-CN" w:bidi="ar-SA"/>
        </w:rPr>
      </w:pPr>
      <w:r>
        <w:rPr>
          <w:rFonts w:hint="eastAsia" w:ascii="Times New Roman" w:hAnsi="Times New Roman" w:eastAsia="仿宋_GB2312" w:cs="仿宋_GB2312"/>
          <w:bCs/>
          <w:color w:val="auto"/>
          <w:kern w:val="0"/>
          <w:sz w:val="32"/>
          <w:szCs w:val="32"/>
          <w:highlight w:val="none"/>
          <w:lang w:val="en-US" w:eastAsia="zh-CN" w:bidi="ar-SA"/>
        </w:rPr>
        <w:t>（六）按照省人民政府和有关部门批准的范围开展涉外医疗服务，承担重大活动医疗保障任务，承担突发公共事件的医疗卫生救助。</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Times New Roman" w:hAnsi="Times New Roman" w:eastAsia="仿宋_GB2312" w:cs="仿宋_GB2312"/>
          <w:bCs/>
          <w:color w:val="auto"/>
          <w:kern w:val="0"/>
          <w:sz w:val="32"/>
          <w:szCs w:val="32"/>
          <w:highlight w:val="none"/>
          <w:lang w:val="en-US" w:eastAsia="zh-CN" w:bidi="ar-SA"/>
        </w:rPr>
      </w:pPr>
      <w:r>
        <w:rPr>
          <w:rFonts w:hint="eastAsia" w:ascii="Times New Roman" w:hAnsi="Times New Roman" w:eastAsia="仿宋_GB2312" w:cs="仿宋_GB2312"/>
          <w:bCs/>
          <w:color w:val="auto"/>
          <w:kern w:val="0"/>
          <w:sz w:val="32"/>
          <w:szCs w:val="32"/>
          <w:highlight w:val="none"/>
          <w:lang w:val="en-US" w:eastAsia="zh-CN" w:bidi="ar-SA"/>
        </w:rPr>
        <w:t>（七）根据规划和需求，经省人民政府和有关部门批准，可与社会力量合作举办新的非营利性医疗机构或在人才、管理、服务、技术、品牌等方面建立协议合作关系。</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Times New Roman" w:hAnsi="Times New Roman" w:eastAsia="仿宋_GB2312" w:cs="仿宋_GB2312"/>
          <w:bCs/>
          <w:color w:val="auto"/>
          <w:kern w:val="0"/>
          <w:sz w:val="32"/>
          <w:szCs w:val="32"/>
          <w:highlight w:val="none"/>
          <w:lang w:val="en-US" w:eastAsia="zh-CN" w:bidi="ar-SA"/>
        </w:rPr>
      </w:pPr>
      <w:r>
        <w:rPr>
          <w:rFonts w:hint="eastAsia" w:ascii="Times New Roman" w:hAnsi="Times New Roman" w:eastAsia="仿宋_GB2312" w:cs="仿宋_GB2312"/>
          <w:bCs/>
          <w:color w:val="auto"/>
          <w:kern w:val="0"/>
          <w:sz w:val="32"/>
          <w:szCs w:val="32"/>
          <w:highlight w:val="none"/>
          <w:lang w:val="en-US" w:eastAsia="zh-CN" w:bidi="ar-SA"/>
        </w:rPr>
        <w:t>（八）经省人民政府和有关部门批准，与相关医疗机构组成医联体或医共体，推动形成基层首诊、双向转诊、急慢分治、上下联动的分级诊疗模式。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Times New Roman" w:hAnsi="Times New Roman" w:eastAsia="仿宋_GB2312" w:cs="仿宋_GB2312"/>
          <w:bCs/>
          <w:color w:val="auto"/>
          <w:kern w:val="0"/>
          <w:sz w:val="32"/>
          <w:szCs w:val="32"/>
          <w:highlight w:val="none"/>
          <w:lang w:val="en-US" w:eastAsia="zh-CN" w:bidi="ar-SA"/>
        </w:rPr>
      </w:pPr>
      <w:r>
        <w:rPr>
          <w:rFonts w:hint="eastAsia" w:ascii="Times New Roman" w:hAnsi="Times New Roman" w:eastAsia="仿宋_GB2312" w:cs="仿宋_GB2312"/>
          <w:bCs/>
          <w:color w:val="auto"/>
          <w:kern w:val="0"/>
          <w:sz w:val="32"/>
          <w:szCs w:val="32"/>
          <w:highlight w:val="none"/>
          <w:lang w:val="en-US" w:eastAsia="zh-CN" w:bidi="ar-SA"/>
        </w:rPr>
        <w:t>（九）开展援疆援藏、援外、对口帮扶、送医下乡等健康扶贫和志愿者服务工作。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Times New Roman" w:hAnsi="Times New Roman" w:eastAsia="仿宋_GB2312" w:cs="仿宋_GB2312"/>
          <w:bCs/>
          <w:color w:val="auto"/>
          <w:kern w:val="0"/>
          <w:sz w:val="32"/>
          <w:szCs w:val="32"/>
          <w:highlight w:val="none"/>
          <w:lang w:val="en-US" w:eastAsia="zh-CN" w:bidi="ar-SA"/>
        </w:rPr>
      </w:pPr>
      <w:r>
        <w:rPr>
          <w:rFonts w:hint="eastAsia" w:ascii="Times New Roman" w:hAnsi="Times New Roman" w:eastAsia="仿宋_GB2312" w:cs="仿宋_GB2312"/>
          <w:bCs/>
          <w:color w:val="auto"/>
          <w:kern w:val="0"/>
          <w:sz w:val="32"/>
          <w:szCs w:val="32"/>
          <w:highlight w:val="none"/>
          <w:lang w:val="en-US" w:eastAsia="zh-CN" w:bidi="ar-SA"/>
        </w:rPr>
        <w:t>（十）承担上级党委和政府交办的其他事项。</w:t>
      </w:r>
    </w:p>
    <w:p>
      <w:pPr>
        <w:spacing w:line="600" w:lineRule="exact"/>
        <w:ind w:firstLine="800" w:firstLineChars="250"/>
        <w:jc w:val="left"/>
        <w:rPr>
          <w:rFonts w:ascii="Times New Roman" w:hAnsi="Times New Roman" w:eastAsia="仿宋_GB2312" w:cs="Times New Roman"/>
          <w:sz w:val="32"/>
          <w:szCs w:val="32"/>
          <w:highlight w:val="none"/>
        </w:rPr>
      </w:pPr>
    </w:p>
    <w:p>
      <w:pPr>
        <w:widowControl/>
        <w:spacing w:line="600" w:lineRule="exact"/>
        <w:rPr>
          <w:rFonts w:ascii="Times New Roman" w:hAnsi="Times New Roman" w:eastAsia="黑体" w:cs="Times New Roman"/>
          <w:bCs/>
          <w:kern w:val="0"/>
          <w:sz w:val="32"/>
          <w:szCs w:val="32"/>
          <w:highlight w:val="none"/>
        </w:rPr>
      </w:pPr>
      <w:r>
        <w:rPr>
          <w:rFonts w:ascii="Times New Roman" w:hAnsi="Times New Roman" w:eastAsia="黑体" w:cs="Times New Roman"/>
          <w:bCs/>
          <w:kern w:val="0"/>
          <w:sz w:val="32"/>
          <w:szCs w:val="32"/>
          <w:highlight w:val="none"/>
        </w:rPr>
        <w:t>二、机构设置及决算单位构成</w:t>
      </w:r>
    </w:p>
    <w:p>
      <w:pPr>
        <w:widowControl/>
        <w:spacing w:line="600" w:lineRule="exact"/>
        <w:rPr>
          <w:rFonts w:hint="eastAsia" w:ascii="Times New Roman" w:hAnsi="Times New Roman" w:eastAsia="仿宋_GB2312" w:cs="仿宋_GB2312"/>
          <w:bCs/>
          <w:color w:val="auto"/>
          <w:kern w:val="0"/>
          <w:sz w:val="32"/>
          <w:szCs w:val="32"/>
          <w:highlight w:val="none"/>
        </w:rPr>
      </w:pPr>
      <w:r>
        <w:rPr>
          <w:rFonts w:ascii="Times New Roman" w:hAnsi="Times New Roman" w:eastAsia="仿宋_GB2312" w:cs="Times New Roman"/>
          <w:bCs/>
          <w:kern w:val="0"/>
          <w:sz w:val="32"/>
          <w:szCs w:val="32"/>
          <w:highlight w:val="none"/>
        </w:rPr>
        <w:t>（一）内设机构设置。</w:t>
      </w:r>
      <w:r>
        <w:rPr>
          <w:rFonts w:hint="eastAsia" w:ascii="Times New Roman" w:hAnsi="Times New Roman" w:eastAsia="仿宋_GB2312" w:cs="仿宋_GB2312"/>
          <w:bCs/>
          <w:color w:val="auto"/>
          <w:kern w:val="0"/>
          <w:sz w:val="32"/>
          <w:szCs w:val="32"/>
          <w:highlight w:val="none"/>
          <w:lang w:eastAsia="zh-CN"/>
        </w:rPr>
        <w:t>邵阳学院附属第二医院</w:t>
      </w:r>
      <w:r>
        <w:rPr>
          <w:rFonts w:hint="eastAsia" w:ascii="Times New Roman" w:hAnsi="Times New Roman" w:eastAsia="仿宋_GB2312" w:cs="仿宋_GB2312"/>
          <w:bCs/>
          <w:color w:val="auto"/>
          <w:kern w:val="0"/>
          <w:sz w:val="32"/>
          <w:szCs w:val="32"/>
          <w:highlight w:val="none"/>
        </w:rPr>
        <w:t>内设机构包括：</w:t>
      </w:r>
    </w:p>
    <w:p>
      <w:pPr>
        <w:pStyle w:val="5"/>
        <w:spacing w:before="133" w:line="226" w:lineRule="auto"/>
        <w:ind w:firstLine="960" w:firstLineChars="300"/>
        <w:rPr>
          <w:rFonts w:hint="eastAsia"/>
          <w:spacing w:val="7"/>
          <w:highlight w:val="none"/>
          <w:lang w:eastAsia="zh-CN"/>
        </w:rPr>
      </w:pPr>
      <w:r>
        <w:rPr>
          <w:rFonts w:hint="eastAsia" w:ascii="仿宋_GB2312" w:hAnsi="仿宋_GB2312" w:eastAsia="仿宋_GB2312" w:cs="仿宋_GB2312"/>
          <w:bCs/>
          <w:color w:val="auto"/>
          <w:kern w:val="0"/>
          <w:sz w:val="32"/>
          <w:szCs w:val="32"/>
          <w:highlight w:val="none"/>
          <w:lang w:eastAsia="zh-CN"/>
        </w:rPr>
        <w:t>党政机构（</w:t>
      </w:r>
      <w:r>
        <w:rPr>
          <w:rFonts w:hint="eastAsia" w:ascii="仿宋_GB2312" w:hAnsi="仿宋_GB2312" w:eastAsia="仿宋_GB2312" w:cs="仿宋_GB2312"/>
          <w:bCs/>
          <w:color w:val="auto"/>
          <w:kern w:val="0"/>
          <w:sz w:val="32"/>
          <w:szCs w:val="32"/>
          <w:highlight w:val="none"/>
          <w:lang w:val="en-US" w:eastAsia="zh-CN"/>
        </w:rPr>
        <w:t>20个</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w:t>
      </w:r>
      <w:r>
        <w:rPr>
          <w:spacing w:val="6"/>
          <w:highlight w:val="none"/>
        </w:rPr>
        <w:t>党政办公室（党委办、行政办）</w:t>
      </w:r>
      <w:r>
        <w:rPr>
          <w:rFonts w:hint="eastAsia"/>
          <w:spacing w:val="6"/>
          <w:highlight w:val="none"/>
          <w:lang w:eastAsia="zh-CN"/>
        </w:rPr>
        <w:t>、</w:t>
      </w:r>
      <w:r>
        <w:rPr>
          <w:spacing w:val="5"/>
          <w:highlight w:val="none"/>
        </w:rPr>
        <w:t>组织人事部（党建、人才、退休、</w:t>
      </w:r>
      <w:r>
        <w:rPr>
          <w:spacing w:val="-90"/>
          <w:highlight w:val="none"/>
        </w:rPr>
        <w:t xml:space="preserve"> </w:t>
      </w:r>
      <w:r>
        <w:rPr>
          <w:spacing w:val="5"/>
          <w:highlight w:val="none"/>
        </w:rPr>
        <w:t>国际交流</w:t>
      </w:r>
      <w:r>
        <w:rPr>
          <w:spacing w:val="6"/>
          <w:highlight w:val="none"/>
        </w:rPr>
        <w:t>）</w:t>
      </w:r>
      <w:r>
        <w:rPr>
          <w:rFonts w:hint="eastAsia"/>
          <w:spacing w:val="6"/>
          <w:highlight w:val="none"/>
          <w:lang w:eastAsia="zh-CN"/>
        </w:rPr>
        <w:t>、</w:t>
      </w:r>
      <w:r>
        <w:rPr>
          <w:spacing w:val="7"/>
          <w:highlight w:val="none"/>
        </w:rPr>
        <w:t>纪委办公室（审计办</w:t>
      </w:r>
      <w:r>
        <w:rPr>
          <w:spacing w:val="1"/>
          <w:highlight w:val="none"/>
        </w:rPr>
        <w:t>）</w:t>
      </w:r>
      <w:r>
        <w:rPr>
          <w:rFonts w:hint="eastAsia"/>
          <w:spacing w:val="5"/>
          <w:highlight w:val="none"/>
          <w:lang w:eastAsia="zh-CN"/>
        </w:rPr>
        <w:t>、</w:t>
      </w:r>
      <w:r>
        <w:rPr>
          <w:spacing w:val="5"/>
          <w:highlight w:val="none"/>
        </w:rPr>
        <w:t>宣传统战部</w:t>
      </w:r>
      <w:r>
        <w:rPr>
          <w:rFonts w:hint="eastAsia"/>
          <w:spacing w:val="5"/>
          <w:highlight w:val="none"/>
          <w:lang w:eastAsia="zh-CN"/>
        </w:rPr>
        <w:t>、</w:t>
      </w:r>
      <w:r>
        <w:rPr>
          <w:spacing w:val="7"/>
          <w:highlight w:val="none"/>
        </w:rPr>
        <w:t>全面质量管理办公室（评价</w:t>
      </w:r>
      <w:r>
        <w:rPr>
          <w:spacing w:val="6"/>
          <w:highlight w:val="none"/>
        </w:rPr>
        <w:t>）</w:t>
      </w:r>
      <w:r>
        <w:rPr>
          <w:rFonts w:hint="eastAsia"/>
          <w:spacing w:val="6"/>
          <w:highlight w:val="none"/>
          <w:lang w:eastAsia="zh-CN"/>
        </w:rPr>
        <w:t>、</w:t>
      </w:r>
      <w:r>
        <w:rPr>
          <w:spacing w:val="-2"/>
          <w:highlight w:val="none"/>
        </w:rPr>
        <w:t>医务部（医务管理、医疗质量控制、医患关系、纠纷与投诉、</w:t>
      </w:r>
      <w:r>
        <w:rPr>
          <w:spacing w:val="5"/>
          <w:highlight w:val="none"/>
        </w:rPr>
        <w:t xml:space="preserve"> </w:t>
      </w:r>
      <w:r>
        <w:rPr>
          <w:spacing w:val="7"/>
          <w:highlight w:val="none"/>
        </w:rPr>
        <w:t>病案管理、学科建设</w:t>
      </w:r>
      <w:r>
        <w:rPr>
          <w:spacing w:val="1"/>
          <w:highlight w:val="none"/>
        </w:rPr>
        <w:t>）</w:t>
      </w:r>
      <w:r>
        <w:rPr>
          <w:rFonts w:hint="eastAsia"/>
          <w:spacing w:val="1"/>
          <w:highlight w:val="none"/>
          <w:lang w:eastAsia="zh-CN"/>
        </w:rPr>
        <w:t>、</w:t>
      </w:r>
      <w:r>
        <w:rPr>
          <w:spacing w:val="5"/>
          <w:highlight w:val="none"/>
        </w:rPr>
        <w:t>护理部（护理质量与安全、10S</w:t>
      </w:r>
      <w:r>
        <w:rPr>
          <w:spacing w:val="-36"/>
          <w:highlight w:val="none"/>
        </w:rPr>
        <w:t xml:space="preserve"> </w:t>
      </w:r>
      <w:r>
        <w:rPr>
          <w:spacing w:val="5"/>
          <w:highlight w:val="none"/>
        </w:rPr>
        <w:t>管理）</w:t>
      </w:r>
      <w:r>
        <w:rPr>
          <w:rFonts w:hint="eastAsia"/>
          <w:spacing w:val="5"/>
          <w:highlight w:val="none"/>
          <w:lang w:eastAsia="zh-CN"/>
        </w:rPr>
        <w:t>、</w:t>
      </w:r>
      <w:r>
        <w:rPr>
          <w:spacing w:val="7"/>
          <w:highlight w:val="none"/>
        </w:rPr>
        <w:t>应急与公共卫生部（行风管理）</w:t>
      </w:r>
      <w:r>
        <w:rPr>
          <w:rFonts w:hint="eastAsia"/>
          <w:spacing w:val="8"/>
          <w:highlight w:val="none"/>
          <w:lang w:eastAsia="zh-CN"/>
        </w:rPr>
        <w:t>、</w:t>
      </w:r>
      <w:r>
        <w:rPr>
          <w:spacing w:val="8"/>
          <w:highlight w:val="none"/>
        </w:rPr>
        <w:t>教务部（临床教学、培训、实验室管理</w:t>
      </w:r>
      <w:r>
        <w:rPr>
          <w:spacing w:val="5"/>
          <w:highlight w:val="none"/>
        </w:rPr>
        <w:t>）</w:t>
      </w:r>
      <w:r>
        <w:rPr>
          <w:rFonts w:hint="eastAsia"/>
          <w:spacing w:val="5"/>
          <w:highlight w:val="none"/>
          <w:lang w:eastAsia="zh-CN"/>
        </w:rPr>
        <w:t>、</w:t>
      </w:r>
      <w:r>
        <w:rPr>
          <w:spacing w:val="6"/>
          <w:highlight w:val="none"/>
        </w:rPr>
        <w:t>科研部（科研办、临床试验研究中心）</w:t>
      </w:r>
      <w:r>
        <w:rPr>
          <w:rFonts w:hint="eastAsia"/>
          <w:spacing w:val="6"/>
          <w:highlight w:val="none"/>
          <w:lang w:eastAsia="zh-CN"/>
        </w:rPr>
        <w:t>、</w:t>
      </w:r>
      <w:r>
        <w:rPr>
          <w:spacing w:val="8"/>
          <w:highlight w:val="none"/>
        </w:rPr>
        <w:t>运营管理部（医改、绩效、医保管理、</w:t>
      </w:r>
      <w:r>
        <w:rPr>
          <w:spacing w:val="7"/>
          <w:highlight w:val="none"/>
        </w:rPr>
        <w:t>物价管理</w:t>
      </w:r>
      <w:r>
        <w:rPr>
          <w:highlight w:val="none"/>
        </w:rPr>
        <w:t>）</w:t>
      </w:r>
      <w:r>
        <w:rPr>
          <w:rFonts w:hint="eastAsia"/>
          <w:highlight w:val="none"/>
          <w:lang w:eastAsia="zh-CN"/>
        </w:rPr>
        <w:t>、</w:t>
      </w:r>
      <w:r>
        <w:rPr>
          <w:spacing w:val="4"/>
          <w:highlight w:val="none"/>
        </w:rPr>
        <w:t>基层医疗服务部</w:t>
      </w:r>
      <w:r>
        <w:rPr>
          <w:rFonts w:hint="eastAsia"/>
          <w:spacing w:val="4"/>
          <w:highlight w:val="none"/>
          <w:lang w:eastAsia="zh-CN"/>
        </w:rPr>
        <w:t>、</w:t>
      </w:r>
      <w:r>
        <w:rPr>
          <w:spacing w:val="5"/>
          <w:highlight w:val="none"/>
        </w:rPr>
        <w:t>院感与传染病管理办</w:t>
      </w:r>
      <w:r>
        <w:rPr>
          <w:rFonts w:hint="eastAsia"/>
          <w:spacing w:val="5"/>
          <w:highlight w:val="none"/>
          <w:lang w:eastAsia="zh-CN"/>
        </w:rPr>
        <w:t>、</w:t>
      </w:r>
      <w:r>
        <w:rPr>
          <w:spacing w:val="7"/>
          <w:highlight w:val="none"/>
        </w:rPr>
        <w:t>财务部（财务管理、门诊结算、住院结算</w:t>
      </w:r>
      <w:r>
        <w:rPr>
          <w:spacing w:val="5"/>
          <w:highlight w:val="none"/>
        </w:rPr>
        <w:t>）</w:t>
      </w:r>
      <w:r>
        <w:rPr>
          <w:spacing w:val="7"/>
          <w:highlight w:val="none"/>
        </w:rPr>
        <w:t>医学装备部（设备维修、医用耗材管理</w:t>
      </w:r>
      <w:r>
        <w:rPr>
          <w:spacing w:val="3"/>
          <w:highlight w:val="none"/>
        </w:rPr>
        <w:t>）</w:t>
      </w:r>
      <w:r>
        <w:rPr>
          <w:rFonts w:hint="eastAsia"/>
          <w:spacing w:val="3"/>
          <w:highlight w:val="none"/>
          <w:lang w:eastAsia="zh-CN"/>
        </w:rPr>
        <w:t>、</w:t>
      </w:r>
      <w:r>
        <w:rPr>
          <w:spacing w:val="7"/>
          <w:highlight w:val="none"/>
        </w:rPr>
        <w:t>后勤保障部（后勤服务、基建、后勤支持中心</w:t>
      </w:r>
      <w:r>
        <w:rPr>
          <w:spacing w:val="9"/>
          <w:highlight w:val="none"/>
        </w:rPr>
        <w:t>）</w:t>
      </w:r>
      <w:r>
        <w:rPr>
          <w:rFonts w:hint="eastAsia"/>
          <w:spacing w:val="9"/>
          <w:highlight w:val="none"/>
          <w:lang w:eastAsia="zh-CN"/>
        </w:rPr>
        <w:t>、</w:t>
      </w:r>
      <w:r>
        <w:rPr>
          <w:spacing w:val="7"/>
          <w:highlight w:val="none"/>
        </w:rPr>
        <w:t>国有资产管理办公室（国有资产管理、招标办</w:t>
      </w:r>
      <w:r>
        <w:rPr>
          <w:spacing w:val="8"/>
          <w:highlight w:val="none"/>
        </w:rPr>
        <w:t>）</w:t>
      </w:r>
      <w:r>
        <w:rPr>
          <w:rFonts w:hint="eastAsia"/>
          <w:spacing w:val="8"/>
          <w:highlight w:val="none"/>
          <w:lang w:eastAsia="zh-CN"/>
        </w:rPr>
        <w:t>、</w:t>
      </w:r>
      <w:r>
        <w:rPr>
          <w:spacing w:val="7"/>
          <w:highlight w:val="none"/>
        </w:rPr>
        <w:t>安全与法务部（安全生产办、法制办、安全保卫)</w:t>
      </w:r>
      <w:r>
        <w:rPr>
          <w:rFonts w:hint="eastAsia"/>
          <w:spacing w:val="7"/>
          <w:highlight w:val="none"/>
          <w:lang w:eastAsia="zh-CN"/>
        </w:rPr>
        <w:t>、</w:t>
      </w:r>
      <w:r>
        <w:rPr>
          <w:spacing w:val="7"/>
          <w:highlight w:val="none"/>
        </w:rPr>
        <w:t>网络信息办（数据中心、统计办</w:t>
      </w:r>
      <w:r>
        <w:rPr>
          <w:highlight w:val="none"/>
        </w:rPr>
        <w:t>）</w:t>
      </w:r>
      <w:r>
        <w:rPr>
          <w:rFonts w:hint="eastAsia"/>
          <w:highlight w:val="none"/>
          <w:lang w:eastAsia="zh-CN"/>
        </w:rPr>
        <w:t>、</w:t>
      </w:r>
      <w:r>
        <w:rPr>
          <w:spacing w:val="7"/>
          <w:highlight w:val="none"/>
        </w:rPr>
        <w:t>门诊部（病友服务中心）</w:t>
      </w:r>
      <w:r>
        <w:rPr>
          <w:rFonts w:hint="eastAsia"/>
          <w:spacing w:val="7"/>
          <w:highlight w:val="none"/>
          <w:lang w:eastAsia="zh-CN"/>
        </w:rPr>
        <w:t>。</w:t>
      </w:r>
    </w:p>
    <w:p>
      <w:pPr>
        <w:pStyle w:val="5"/>
        <w:spacing w:before="134" w:line="228" w:lineRule="auto"/>
        <w:ind w:firstLine="648" w:firstLineChars="200"/>
        <w:rPr>
          <w:spacing w:val="2"/>
          <w:highlight w:val="none"/>
        </w:rPr>
      </w:pPr>
      <w:r>
        <w:rPr>
          <w:rFonts w:ascii="仿宋" w:hAnsi="仿宋" w:eastAsia="仿宋" w:cs="仿宋"/>
          <w:spacing w:val="7"/>
          <w:kern w:val="2"/>
          <w:sz w:val="31"/>
          <w:szCs w:val="31"/>
          <w:highlight w:val="none"/>
          <w:lang w:val="en-US" w:eastAsia="en-US" w:bidi="ar-SA"/>
        </w:rPr>
        <w:t>党总支及群团机构（6 个）</w:t>
      </w:r>
      <w:r>
        <w:rPr>
          <w:rFonts w:hint="eastAsia" w:ascii="仿宋" w:hAnsi="仿宋" w:eastAsia="仿宋" w:cs="仿宋"/>
          <w:spacing w:val="7"/>
          <w:kern w:val="2"/>
          <w:sz w:val="31"/>
          <w:szCs w:val="31"/>
          <w:highlight w:val="none"/>
          <w:lang w:val="en-US" w:eastAsia="zh-CN" w:bidi="ar-SA"/>
        </w:rPr>
        <w:t>：</w:t>
      </w:r>
      <w:r>
        <w:rPr>
          <w:spacing w:val="2"/>
          <w:highlight w:val="none"/>
        </w:rPr>
        <w:t>第一党总支</w:t>
      </w:r>
      <w:r>
        <w:rPr>
          <w:rFonts w:hint="eastAsia"/>
          <w:spacing w:val="2"/>
          <w:highlight w:val="none"/>
          <w:lang w:eastAsia="zh-CN"/>
        </w:rPr>
        <w:t>、</w:t>
      </w:r>
      <w:r>
        <w:rPr>
          <w:spacing w:val="5"/>
          <w:highlight w:val="none"/>
        </w:rPr>
        <w:t>第二党总支</w:t>
      </w:r>
      <w:r>
        <w:rPr>
          <w:rFonts w:hint="eastAsia"/>
          <w:spacing w:val="5"/>
          <w:highlight w:val="none"/>
          <w:lang w:eastAsia="zh-CN"/>
        </w:rPr>
        <w:t>、</w:t>
      </w:r>
      <w:r>
        <w:rPr>
          <w:spacing w:val="4"/>
          <w:highlight w:val="none"/>
        </w:rPr>
        <w:t>第三党总支</w:t>
      </w:r>
      <w:r>
        <w:rPr>
          <w:rFonts w:hint="eastAsia"/>
          <w:spacing w:val="4"/>
          <w:highlight w:val="none"/>
          <w:lang w:eastAsia="zh-CN"/>
        </w:rPr>
        <w:t>、</w:t>
      </w:r>
      <w:r>
        <w:rPr>
          <w:spacing w:val="6"/>
          <w:highlight w:val="none"/>
        </w:rPr>
        <w:t>第四党总支</w:t>
      </w:r>
      <w:r>
        <w:rPr>
          <w:rFonts w:hint="eastAsia"/>
          <w:spacing w:val="6"/>
          <w:highlight w:val="none"/>
          <w:lang w:eastAsia="zh-CN"/>
        </w:rPr>
        <w:t>、</w:t>
      </w:r>
      <w:r>
        <w:rPr>
          <w:spacing w:val="1"/>
          <w:highlight w:val="none"/>
        </w:rPr>
        <w:t>工会</w:t>
      </w:r>
      <w:r>
        <w:rPr>
          <w:rFonts w:hint="eastAsia"/>
          <w:spacing w:val="1"/>
          <w:highlight w:val="none"/>
          <w:lang w:eastAsia="zh-CN"/>
        </w:rPr>
        <w:t>、</w:t>
      </w:r>
      <w:r>
        <w:rPr>
          <w:spacing w:val="2"/>
          <w:highlight w:val="none"/>
        </w:rPr>
        <w:t>团委。</w:t>
      </w:r>
    </w:p>
    <w:p>
      <w:pPr>
        <w:pStyle w:val="5"/>
        <w:spacing w:before="134" w:line="228" w:lineRule="auto"/>
        <w:ind w:firstLine="640" w:firstLineChars="200"/>
        <w:jc w:val="left"/>
        <w:rPr>
          <w:rFonts w:hint="eastAsia" w:eastAsia="仿宋"/>
          <w:highlight w:val="none"/>
          <w:lang w:eastAsia="zh-CN"/>
        </w:rPr>
      </w:pPr>
      <w:r>
        <w:rPr>
          <w:rFonts w:hint="eastAsia" w:ascii="仿宋_GB2312" w:hAnsi="仿宋_GB2312" w:eastAsia="仿宋_GB2312" w:cs="仿宋_GB2312"/>
          <w:bCs/>
          <w:color w:val="auto"/>
          <w:kern w:val="0"/>
          <w:sz w:val="32"/>
          <w:szCs w:val="32"/>
          <w:highlight w:val="none"/>
          <w:lang w:val="en-US" w:eastAsia="zh-CN"/>
        </w:rPr>
        <w:t>临床科室（30个）：</w:t>
      </w:r>
      <w:r>
        <w:rPr>
          <w:spacing w:val="2"/>
          <w:highlight w:val="none"/>
        </w:rPr>
        <w:t>心血管内科</w:t>
      </w:r>
      <w:r>
        <w:rPr>
          <w:rFonts w:hint="eastAsia"/>
          <w:spacing w:val="2"/>
          <w:highlight w:val="none"/>
          <w:lang w:eastAsia="zh-CN"/>
        </w:rPr>
        <w:t>、</w:t>
      </w:r>
      <w:r>
        <w:rPr>
          <w:spacing w:val="6"/>
          <w:highlight w:val="none"/>
        </w:rPr>
        <w:t>呼吸与危重症医学科</w:t>
      </w:r>
      <w:r>
        <w:rPr>
          <w:rFonts w:hint="eastAsia"/>
          <w:spacing w:val="6"/>
          <w:highlight w:val="none"/>
          <w:lang w:eastAsia="zh-CN"/>
        </w:rPr>
        <w:t>、</w:t>
      </w:r>
      <w:r>
        <w:rPr>
          <w:spacing w:val="5"/>
          <w:highlight w:val="none"/>
        </w:rPr>
        <w:t>消化内科</w:t>
      </w:r>
      <w:r>
        <w:rPr>
          <w:rFonts w:hint="eastAsia"/>
          <w:spacing w:val="5"/>
          <w:highlight w:val="none"/>
          <w:lang w:eastAsia="zh-CN"/>
        </w:rPr>
        <w:t>、</w:t>
      </w:r>
      <w:r>
        <w:rPr>
          <w:spacing w:val="6"/>
          <w:highlight w:val="none"/>
        </w:rPr>
        <w:t>内分泌代谢科</w:t>
      </w:r>
      <w:r>
        <w:rPr>
          <w:rFonts w:hint="eastAsia"/>
          <w:spacing w:val="6"/>
          <w:highlight w:val="none"/>
          <w:lang w:eastAsia="zh-CN"/>
        </w:rPr>
        <w:t>、</w:t>
      </w:r>
      <w:r>
        <w:rPr>
          <w:spacing w:val="8"/>
          <w:highlight w:val="none"/>
        </w:rPr>
        <w:t>肾内科及风湿免疫科（血液净化中心</w:t>
      </w:r>
      <w:r>
        <w:rPr>
          <w:spacing w:val="2"/>
          <w:highlight w:val="none"/>
        </w:rPr>
        <w:t>）</w:t>
      </w:r>
      <w:r>
        <w:rPr>
          <w:rFonts w:hint="eastAsia"/>
          <w:spacing w:val="2"/>
          <w:highlight w:val="none"/>
          <w:lang w:eastAsia="zh-CN"/>
        </w:rPr>
        <w:t>、</w:t>
      </w:r>
      <w:r>
        <w:rPr>
          <w:spacing w:val="6"/>
          <w:highlight w:val="none"/>
        </w:rPr>
        <w:t>血液肿瘤内科</w:t>
      </w:r>
      <w:r>
        <w:rPr>
          <w:rFonts w:hint="eastAsia"/>
          <w:spacing w:val="6"/>
          <w:highlight w:val="none"/>
          <w:lang w:eastAsia="zh-CN"/>
        </w:rPr>
        <w:t>、</w:t>
      </w:r>
      <w:r>
        <w:rPr>
          <w:spacing w:val="5"/>
          <w:highlight w:val="none"/>
        </w:rPr>
        <w:t>感染性疾病科</w:t>
      </w:r>
      <w:r>
        <w:rPr>
          <w:rFonts w:hint="eastAsia"/>
          <w:spacing w:val="5"/>
          <w:highlight w:val="none"/>
          <w:lang w:eastAsia="zh-CN"/>
        </w:rPr>
        <w:t>、</w:t>
      </w:r>
      <w:r>
        <w:rPr>
          <w:spacing w:val="5"/>
          <w:highlight w:val="none"/>
        </w:rPr>
        <w:t>神经内科</w:t>
      </w:r>
      <w:r>
        <w:rPr>
          <w:rFonts w:hint="eastAsia"/>
          <w:spacing w:val="5"/>
          <w:highlight w:val="none"/>
          <w:lang w:eastAsia="zh-CN"/>
        </w:rPr>
        <w:t>、</w:t>
      </w:r>
      <w:r>
        <w:rPr>
          <w:spacing w:val="6"/>
          <w:highlight w:val="none"/>
        </w:rPr>
        <w:t>老年医学科</w:t>
      </w:r>
      <w:r>
        <w:rPr>
          <w:rFonts w:hint="eastAsia"/>
          <w:spacing w:val="6"/>
          <w:highlight w:val="none"/>
          <w:lang w:eastAsia="zh-CN"/>
        </w:rPr>
        <w:t>、</w:t>
      </w:r>
      <w:r>
        <w:rPr>
          <w:spacing w:val="3"/>
          <w:highlight w:val="none"/>
        </w:rPr>
        <w:t>康复医学科</w:t>
      </w:r>
      <w:r>
        <w:rPr>
          <w:rFonts w:hint="eastAsia"/>
          <w:spacing w:val="3"/>
          <w:highlight w:val="none"/>
          <w:lang w:eastAsia="zh-CN"/>
        </w:rPr>
        <w:t>、</w:t>
      </w:r>
      <w:r>
        <w:rPr>
          <w:spacing w:val="4"/>
          <w:highlight w:val="none"/>
        </w:rPr>
        <w:t>儿科及新生儿科</w:t>
      </w:r>
      <w:r>
        <w:rPr>
          <w:rFonts w:hint="eastAsia"/>
          <w:spacing w:val="4"/>
          <w:highlight w:val="none"/>
          <w:lang w:eastAsia="zh-CN"/>
        </w:rPr>
        <w:t>、</w:t>
      </w:r>
      <w:r>
        <w:rPr>
          <w:spacing w:val="3"/>
          <w:highlight w:val="none"/>
        </w:rPr>
        <w:t>急诊医学科</w:t>
      </w:r>
      <w:r>
        <w:rPr>
          <w:rFonts w:hint="eastAsia"/>
          <w:spacing w:val="3"/>
          <w:highlight w:val="none"/>
          <w:lang w:eastAsia="zh-CN"/>
        </w:rPr>
        <w:t>、</w:t>
      </w:r>
      <w:r>
        <w:rPr>
          <w:spacing w:val="3"/>
          <w:highlight w:val="none"/>
        </w:rPr>
        <w:t>重症医学科</w:t>
      </w:r>
      <w:r>
        <w:rPr>
          <w:rFonts w:hint="eastAsia"/>
          <w:spacing w:val="3"/>
          <w:highlight w:val="none"/>
          <w:lang w:eastAsia="zh-CN"/>
        </w:rPr>
        <w:t>、</w:t>
      </w:r>
      <w:r>
        <w:rPr>
          <w:spacing w:val="3"/>
          <w:highlight w:val="none"/>
        </w:rPr>
        <w:t>全科医学科</w:t>
      </w:r>
      <w:r>
        <w:rPr>
          <w:rFonts w:hint="eastAsia"/>
          <w:spacing w:val="3"/>
          <w:highlight w:val="none"/>
          <w:lang w:eastAsia="zh-CN"/>
        </w:rPr>
        <w:t>、</w:t>
      </w:r>
      <w:r>
        <w:rPr>
          <w:spacing w:val="5"/>
          <w:highlight w:val="none"/>
        </w:rPr>
        <w:t>预防保健科/健康管理中心</w:t>
      </w:r>
      <w:r>
        <w:rPr>
          <w:rFonts w:hint="eastAsia"/>
          <w:spacing w:val="5"/>
          <w:highlight w:val="none"/>
          <w:lang w:eastAsia="zh-CN"/>
        </w:rPr>
        <w:t>、</w:t>
      </w:r>
      <w:r>
        <w:rPr>
          <w:spacing w:val="1"/>
          <w:highlight w:val="none"/>
        </w:rPr>
        <w:t>中医科</w:t>
      </w:r>
      <w:r>
        <w:rPr>
          <w:rFonts w:hint="eastAsia"/>
          <w:spacing w:val="1"/>
          <w:highlight w:val="none"/>
          <w:lang w:eastAsia="zh-CN"/>
        </w:rPr>
        <w:t>、</w:t>
      </w:r>
      <w:r>
        <w:rPr>
          <w:spacing w:val="5"/>
          <w:highlight w:val="none"/>
        </w:rPr>
        <w:t>肝胆疝外科、肛肠外科</w:t>
      </w:r>
      <w:r>
        <w:rPr>
          <w:rFonts w:hint="eastAsia"/>
          <w:spacing w:val="5"/>
          <w:highlight w:val="none"/>
          <w:lang w:eastAsia="zh-CN"/>
        </w:rPr>
        <w:t>、</w:t>
      </w:r>
      <w:r>
        <w:rPr>
          <w:spacing w:val="-1"/>
          <w:highlight w:val="none"/>
        </w:rPr>
        <w:t>心胸外科、</w:t>
      </w:r>
      <w:r>
        <w:rPr>
          <w:spacing w:val="-73"/>
          <w:highlight w:val="none"/>
        </w:rPr>
        <w:t xml:space="preserve"> </w:t>
      </w:r>
      <w:r>
        <w:rPr>
          <w:spacing w:val="-1"/>
          <w:highlight w:val="none"/>
        </w:rPr>
        <w:t>胃肠外科</w:t>
      </w:r>
      <w:r>
        <w:rPr>
          <w:rFonts w:hint="eastAsia"/>
          <w:spacing w:val="-1"/>
          <w:highlight w:val="none"/>
          <w:lang w:eastAsia="zh-CN"/>
        </w:rPr>
        <w:t>、</w:t>
      </w:r>
      <w:r>
        <w:rPr>
          <w:spacing w:val="-86"/>
          <w:highlight w:val="none"/>
        </w:rPr>
        <w:t xml:space="preserve"> </w:t>
      </w:r>
      <w:r>
        <w:rPr>
          <w:spacing w:val="-1"/>
          <w:highlight w:val="none"/>
        </w:rPr>
        <w:t>甲状腺及乳腺外科</w:t>
      </w:r>
      <w:r>
        <w:rPr>
          <w:rFonts w:hint="eastAsia"/>
          <w:spacing w:val="-1"/>
          <w:highlight w:val="none"/>
          <w:lang w:eastAsia="zh-CN"/>
        </w:rPr>
        <w:t>、</w:t>
      </w:r>
      <w:r>
        <w:rPr>
          <w:spacing w:val="4"/>
          <w:highlight w:val="none"/>
        </w:rPr>
        <w:t>泌尿外科</w:t>
      </w:r>
      <w:r>
        <w:rPr>
          <w:rFonts w:hint="eastAsia"/>
          <w:spacing w:val="4"/>
          <w:highlight w:val="none"/>
          <w:lang w:eastAsia="zh-CN"/>
        </w:rPr>
        <w:t>、</w:t>
      </w:r>
      <w:r>
        <w:rPr>
          <w:spacing w:val="4"/>
          <w:highlight w:val="none"/>
        </w:rPr>
        <w:t>神经外科</w:t>
      </w:r>
      <w:r>
        <w:rPr>
          <w:rFonts w:hint="eastAsia"/>
          <w:spacing w:val="4"/>
          <w:highlight w:val="none"/>
          <w:lang w:eastAsia="zh-CN"/>
        </w:rPr>
        <w:t>、</w:t>
      </w:r>
      <w:r>
        <w:rPr>
          <w:spacing w:val="6"/>
          <w:highlight w:val="none"/>
        </w:rPr>
        <w:t>脊柱与骨肿瘤外科</w:t>
      </w:r>
      <w:r>
        <w:rPr>
          <w:rFonts w:hint="eastAsia"/>
          <w:spacing w:val="6"/>
          <w:highlight w:val="none"/>
          <w:lang w:eastAsia="zh-CN"/>
        </w:rPr>
        <w:t>、</w:t>
      </w:r>
      <w:r>
        <w:rPr>
          <w:spacing w:val="6"/>
          <w:highlight w:val="none"/>
        </w:rPr>
        <w:t>关节与创伤外科</w:t>
      </w:r>
      <w:r>
        <w:rPr>
          <w:rFonts w:hint="eastAsia"/>
          <w:spacing w:val="6"/>
          <w:highlight w:val="none"/>
          <w:lang w:eastAsia="zh-CN"/>
        </w:rPr>
        <w:t>、</w:t>
      </w:r>
      <w:r>
        <w:rPr>
          <w:spacing w:val="4"/>
          <w:highlight w:val="none"/>
        </w:rPr>
        <w:t>血管外科</w:t>
      </w:r>
      <w:r>
        <w:rPr>
          <w:rFonts w:hint="eastAsia"/>
          <w:spacing w:val="4"/>
          <w:highlight w:val="none"/>
          <w:lang w:eastAsia="zh-CN"/>
        </w:rPr>
        <w:t>、</w:t>
      </w:r>
      <w:r>
        <w:rPr>
          <w:spacing w:val="4"/>
          <w:highlight w:val="none"/>
        </w:rPr>
        <w:t>麻醉科</w:t>
      </w:r>
      <w:r>
        <w:rPr>
          <w:rFonts w:hint="eastAsia"/>
          <w:spacing w:val="4"/>
          <w:highlight w:val="none"/>
          <w:lang w:eastAsia="zh-CN"/>
        </w:rPr>
        <w:t>、</w:t>
      </w:r>
      <w:r>
        <w:rPr>
          <w:spacing w:val="3"/>
          <w:highlight w:val="none"/>
        </w:rPr>
        <w:t>妇科</w:t>
      </w:r>
      <w:r>
        <w:rPr>
          <w:rFonts w:hint="eastAsia"/>
          <w:spacing w:val="3"/>
          <w:highlight w:val="none"/>
          <w:lang w:eastAsia="zh-CN"/>
        </w:rPr>
        <w:t>、</w:t>
      </w:r>
      <w:r>
        <w:rPr>
          <w:spacing w:val="3"/>
          <w:highlight w:val="none"/>
        </w:rPr>
        <w:t>产科</w:t>
      </w:r>
      <w:r>
        <w:rPr>
          <w:rFonts w:hint="eastAsia"/>
          <w:spacing w:val="3"/>
          <w:highlight w:val="none"/>
          <w:lang w:eastAsia="zh-CN"/>
        </w:rPr>
        <w:t>、</w:t>
      </w:r>
      <w:r>
        <w:rPr>
          <w:spacing w:val="5"/>
          <w:highlight w:val="none"/>
        </w:rPr>
        <w:t>眼耳鼻咽喉科</w:t>
      </w:r>
      <w:r>
        <w:rPr>
          <w:rFonts w:hint="eastAsia"/>
          <w:spacing w:val="5"/>
          <w:highlight w:val="none"/>
          <w:lang w:eastAsia="zh-CN"/>
        </w:rPr>
        <w:t>、</w:t>
      </w:r>
      <w:r>
        <w:rPr>
          <w:spacing w:val="-7"/>
          <w:highlight w:val="none"/>
        </w:rPr>
        <w:t>口腔科</w:t>
      </w:r>
      <w:r>
        <w:rPr>
          <w:rFonts w:hint="eastAsia"/>
          <w:spacing w:val="-7"/>
          <w:highlight w:val="none"/>
          <w:lang w:eastAsia="zh-CN"/>
        </w:rPr>
        <w:t>、</w:t>
      </w:r>
      <w:r>
        <w:rPr>
          <w:spacing w:val="4"/>
          <w:highlight w:val="none"/>
        </w:rPr>
        <w:t>皮肤科</w:t>
      </w:r>
      <w:r>
        <w:rPr>
          <w:rFonts w:hint="eastAsia"/>
          <w:spacing w:val="4"/>
          <w:highlight w:val="none"/>
          <w:lang w:eastAsia="zh-CN"/>
        </w:rPr>
        <w:t>。</w:t>
      </w:r>
    </w:p>
    <w:p>
      <w:pPr>
        <w:pStyle w:val="5"/>
        <w:spacing w:before="150" w:line="228" w:lineRule="auto"/>
        <w:ind w:firstLine="640" w:firstLineChars="200"/>
        <w:rPr>
          <w:rFonts w:hint="eastAsia"/>
          <w:spacing w:val="3"/>
          <w:highlight w:val="none"/>
          <w:lang w:eastAsia="zh-CN"/>
        </w:rPr>
      </w:pPr>
      <w:r>
        <w:rPr>
          <w:rFonts w:hint="eastAsia" w:ascii="仿宋_GB2312" w:hAnsi="仿宋_GB2312" w:eastAsia="仿宋_GB2312" w:cs="仿宋_GB2312"/>
          <w:bCs/>
          <w:color w:val="auto"/>
          <w:kern w:val="0"/>
          <w:sz w:val="32"/>
          <w:szCs w:val="32"/>
          <w:highlight w:val="none"/>
          <w:lang w:val="en-US" w:eastAsia="zh-CN"/>
        </w:rPr>
        <w:t>医技及医辅科室（11个）：</w:t>
      </w:r>
      <w:r>
        <w:rPr>
          <w:spacing w:val="1"/>
          <w:highlight w:val="none"/>
        </w:rPr>
        <w:t>检验科</w:t>
      </w:r>
      <w:r>
        <w:rPr>
          <w:rFonts w:hint="eastAsia"/>
          <w:spacing w:val="1"/>
          <w:highlight w:val="none"/>
          <w:lang w:eastAsia="zh-CN"/>
        </w:rPr>
        <w:t>、</w:t>
      </w:r>
      <w:r>
        <w:rPr>
          <w:spacing w:val="4"/>
          <w:highlight w:val="none"/>
        </w:rPr>
        <w:t>输血科</w:t>
      </w:r>
      <w:r>
        <w:rPr>
          <w:rFonts w:hint="eastAsia"/>
          <w:spacing w:val="4"/>
          <w:highlight w:val="none"/>
          <w:lang w:eastAsia="zh-CN"/>
        </w:rPr>
        <w:t>、</w:t>
      </w:r>
      <w:r>
        <w:rPr>
          <w:spacing w:val="3"/>
          <w:highlight w:val="none"/>
        </w:rPr>
        <w:t>病理科</w:t>
      </w:r>
      <w:r>
        <w:rPr>
          <w:rFonts w:hint="eastAsia"/>
          <w:spacing w:val="3"/>
          <w:highlight w:val="none"/>
          <w:lang w:eastAsia="zh-CN"/>
        </w:rPr>
        <w:t>、</w:t>
      </w:r>
      <w:r>
        <w:rPr>
          <w:spacing w:val="7"/>
          <w:highlight w:val="none"/>
        </w:rPr>
        <w:t>放射科（含介入科</w:t>
      </w:r>
      <w:r>
        <w:rPr>
          <w:spacing w:val="3"/>
          <w:highlight w:val="none"/>
        </w:rPr>
        <w:t>）</w:t>
      </w:r>
      <w:r>
        <w:rPr>
          <w:rFonts w:hint="eastAsia"/>
          <w:spacing w:val="3"/>
          <w:highlight w:val="none"/>
          <w:lang w:eastAsia="zh-CN"/>
        </w:rPr>
        <w:t>、</w:t>
      </w:r>
      <w:r>
        <w:rPr>
          <w:spacing w:val="4"/>
          <w:highlight w:val="none"/>
        </w:rPr>
        <w:t>核医学科</w:t>
      </w:r>
      <w:r>
        <w:rPr>
          <w:rFonts w:hint="eastAsia"/>
          <w:spacing w:val="4"/>
          <w:highlight w:val="none"/>
          <w:lang w:eastAsia="zh-CN"/>
        </w:rPr>
        <w:t>、</w:t>
      </w:r>
      <w:r>
        <w:rPr>
          <w:spacing w:val="5"/>
          <w:highlight w:val="none"/>
        </w:rPr>
        <w:t>超声医学科</w:t>
      </w:r>
      <w:r>
        <w:rPr>
          <w:rFonts w:hint="eastAsia"/>
          <w:spacing w:val="5"/>
          <w:highlight w:val="none"/>
          <w:lang w:eastAsia="zh-CN"/>
        </w:rPr>
        <w:t>、</w:t>
      </w:r>
      <w:r>
        <w:rPr>
          <w:spacing w:val="4"/>
          <w:highlight w:val="none"/>
        </w:rPr>
        <w:t>电生理科</w:t>
      </w:r>
      <w:r>
        <w:rPr>
          <w:rFonts w:hint="eastAsia"/>
          <w:spacing w:val="4"/>
          <w:highlight w:val="none"/>
          <w:lang w:eastAsia="zh-CN"/>
        </w:rPr>
        <w:t>、</w:t>
      </w:r>
      <w:r>
        <w:rPr>
          <w:spacing w:val="8"/>
          <w:highlight w:val="none"/>
        </w:rPr>
        <w:t>药学部（临床药学办公室</w:t>
      </w:r>
      <w:r>
        <w:rPr>
          <w:highlight w:val="none"/>
        </w:rPr>
        <w:t>）</w:t>
      </w:r>
      <w:r>
        <w:rPr>
          <w:rFonts w:hint="eastAsia"/>
          <w:highlight w:val="none"/>
          <w:lang w:eastAsia="zh-CN"/>
        </w:rPr>
        <w:t>、</w:t>
      </w:r>
      <w:r>
        <w:rPr>
          <w:spacing w:val="4"/>
          <w:highlight w:val="none"/>
        </w:rPr>
        <w:t>营养科</w:t>
      </w:r>
      <w:r>
        <w:rPr>
          <w:rFonts w:hint="eastAsia"/>
          <w:spacing w:val="4"/>
          <w:highlight w:val="none"/>
          <w:lang w:eastAsia="zh-CN"/>
        </w:rPr>
        <w:t>、</w:t>
      </w:r>
      <w:r>
        <w:rPr>
          <w:spacing w:val="1"/>
          <w:highlight w:val="none"/>
        </w:rPr>
        <w:t>手术室</w:t>
      </w:r>
      <w:r>
        <w:rPr>
          <w:rFonts w:hint="eastAsia"/>
          <w:spacing w:val="1"/>
          <w:highlight w:val="none"/>
          <w:lang w:eastAsia="zh-CN"/>
        </w:rPr>
        <w:t>、</w:t>
      </w:r>
      <w:r>
        <w:rPr>
          <w:spacing w:val="3"/>
          <w:highlight w:val="none"/>
        </w:rPr>
        <w:t>消毒供应中心</w:t>
      </w:r>
      <w:r>
        <w:rPr>
          <w:rFonts w:hint="eastAsia"/>
          <w:spacing w:val="3"/>
          <w:highlight w:val="none"/>
          <w:lang w:eastAsia="zh-CN"/>
        </w:rPr>
        <w:t>。</w:t>
      </w:r>
    </w:p>
    <w:p>
      <w:pPr>
        <w:pStyle w:val="5"/>
        <w:spacing w:before="134" w:line="228" w:lineRule="auto"/>
        <w:ind w:firstLine="640" w:firstLineChars="200"/>
        <w:rPr>
          <w:highlight w:val="none"/>
        </w:rPr>
      </w:pPr>
      <w:r>
        <w:rPr>
          <w:rFonts w:hint="eastAsia" w:ascii="仿宋_GB2312" w:hAnsi="仿宋_GB2312" w:eastAsia="仿宋_GB2312" w:cs="仿宋_GB2312"/>
          <w:bCs/>
          <w:color w:val="auto"/>
          <w:kern w:val="0"/>
          <w:sz w:val="32"/>
          <w:szCs w:val="32"/>
          <w:highlight w:val="none"/>
          <w:lang w:val="en-US" w:eastAsia="zh-CN"/>
        </w:rPr>
        <w:t>教研室（17个）：</w:t>
      </w:r>
      <w:r>
        <w:rPr>
          <w:spacing w:val="3"/>
          <w:highlight w:val="none"/>
        </w:rPr>
        <w:t>内科学教研室</w:t>
      </w:r>
      <w:r>
        <w:rPr>
          <w:rFonts w:hint="eastAsia"/>
          <w:spacing w:val="3"/>
          <w:highlight w:val="none"/>
          <w:lang w:eastAsia="zh-CN"/>
        </w:rPr>
        <w:t>、</w:t>
      </w:r>
      <w:r>
        <w:rPr>
          <w:spacing w:val="5"/>
          <w:highlight w:val="none"/>
        </w:rPr>
        <w:t>外科学教研室</w:t>
      </w:r>
      <w:r>
        <w:rPr>
          <w:rFonts w:hint="eastAsia"/>
          <w:spacing w:val="5"/>
          <w:highlight w:val="none"/>
          <w:lang w:eastAsia="zh-CN"/>
        </w:rPr>
        <w:t>、</w:t>
      </w:r>
      <w:r>
        <w:rPr>
          <w:spacing w:val="6"/>
          <w:highlight w:val="none"/>
        </w:rPr>
        <w:t>妇产科学教研室</w:t>
      </w:r>
      <w:r>
        <w:rPr>
          <w:rFonts w:hint="eastAsia"/>
          <w:spacing w:val="6"/>
          <w:highlight w:val="none"/>
          <w:lang w:eastAsia="zh-CN"/>
        </w:rPr>
        <w:t>、</w:t>
      </w:r>
      <w:r>
        <w:rPr>
          <w:spacing w:val="6"/>
          <w:highlight w:val="none"/>
        </w:rPr>
        <w:t>儿科学教研室</w:t>
      </w:r>
      <w:r>
        <w:rPr>
          <w:rFonts w:hint="eastAsia"/>
          <w:spacing w:val="6"/>
          <w:highlight w:val="none"/>
          <w:lang w:eastAsia="zh-CN"/>
        </w:rPr>
        <w:t>、</w:t>
      </w:r>
      <w:r>
        <w:rPr>
          <w:spacing w:val="6"/>
          <w:highlight w:val="none"/>
        </w:rPr>
        <w:t>全科医学教研室</w:t>
      </w:r>
      <w:r>
        <w:rPr>
          <w:rFonts w:hint="eastAsia"/>
          <w:spacing w:val="6"/>
          <w:highlight w:val="none"/>
          <w:lang w:eastAsia="zh-CN"/>
        </w:rPr>
        <w:t>、</w:t>
      </w:r>
      <w:r>
        <w:rPr>
          <w:spacing w:val="7"/>
          <w:highlight w:val="none"/>
        </w:rPr>
        <w:t>急诊医学、重症医学教研室</w:t>
      </w:r>
      <w:r>
        <w:rPr>
          <w:rFonts w:hint="eastAsia"/>
          <w:spacing w:val="7"/>
          <w:highlight w:val="none"/>
          <w:lang w:eastAsia="zh-CN"/>
        </w:rPr>
        <w:t>、</w:t>
      </w:r>
      <w:r>
        <w:rPr>
          <w:spacing w:val="7"/>
          <w:highlight w:val="none"/>
        </w:rPr>
        <w:t>眼科学、耳鼻咽喉科学教研室</w:t>
      </w:r>
      <w:r>
        <w:rPr>
          <w:rFonts w:hint="eastAsia"/>
          <w:spacing w:val="7"/>
          <w:highlight w:val="none"/>
          <w:lang w:eastAsia="zh-CN"/>
        </w:rPr>
        <w:t>、</w:t>
      </w:r>
      <w:r>
        <w:rPr>
          <w:spacing w:val="6"/>
          <w:highlight w:val="none"/>
        </w:rPr>
        <w:t>麻醉学教研室</w:t>
      </w:r>
      <w:r>
        <w:rPr>
          <w:rFonts w:hint="eastAsia"/>
          <w:spacing w:val="6"/>
          <w:highlight w:val="none"/>
          <w:lang w:eastAsia="zh-CN"/>
        </w:rPr>
        <w:t>、</w:t>
      </w:r>
      <w:r>
        <w:rPr>
          <w:spacing w:val="6"/>
          <w:highlight w:val="none"/>
        </w:rPr>
        <w:t>神经病学教研室</w:t>
      </w:r>
      <w:r>
        <w:rPr>
          <w:rFonts w:hint="eastAsia"/>
          <w:spacing w:val="6"/>
          <w:highlight w:val="none"/>
          <w:lang w:eastAsia="zh-CN"/>
        </w:rPr>
        <w:t>、</w:t>
      </w:r>
      <w:r>
        <w:rPr>
          <w:spacing w:val="5"/>
          <w:highlight w:val="none"/>
        </w:rPr>
        <w:t>康复医学与理疗学教研室</w:t>
      </w:r>
      <w:r>
        <w:rPr>
          <w:rFonts w:hint="eastAsia"/>
          <w:spacing w:val="5"/>
          <w:highlight w:val="none"/>
          <w:lang w:eastAsia="zh-CN"/>
        </w:rPr>
        <w:t>、</w:t>
      </w:r>
      <w:r>
        <w:rPr>
          <w:spacing w:val="5"/>
          <w:highlight w:val="none"/>
        </w:rPr>
        <w:t>皮肤病与性病学教研室</w:t>
      </w:r>
      <w:r>
        <w:rPr>
          <w:rFonts w:hint="eastAsia"/>
          <w:spacing w:val="5"/>
          <w:highlight w:val="none"/>
          <w:lang w:eastAsia="zh-CN"/>
        </w:rPr>
        <w:t>、</w:t>
      </w:r>
      <w:r>
        <w:rPr>
          <w:spacing w:val="6"/>
          <w:highlight w:val="none"/>
        </w:rPr>
        <w:t>中医学与针灸推拿学教研室</w:t>
      </w:r>
      <w:r>
        <w:rPr>
          <w:rFonts w:hint="eastAsia"/>
          <w:spacing w:val="6"/>
          <w:highlight w:val="none"/>
          <w:lang w:eastAsia="zh-CN"/>
        </w:rPr>
        <w:t>、</w:t>
      </w:r>
      <w:r>
        <w:rPr>
          <w:spacing w:val="4"/>
          <w:highlight w:val="none"/>
        </w:rPr>
        <w:t>临床护理学教研室</w:t>
      </w:r>
      <w:r>
        <w:rPr>
          <w:rFonts w:hint="eastAsia"/>
          <w:spacing w:val="4"/>
          <w:highlight w:val="none"/>
          <w:lang w:eastAsia="zh-CN"/>
        </w:rPr>
        <w:t>、</w:t>
      </w:r>
      <w:r>
        <w:rPr>
          <w:spacing w:val="4"/>
          <w:highlight w:val="none"/>
        </w:rPr>
        <w:t>临床药学教研室</w:t>
      </w:r>
      <w:r>
        <w:rPr>
          <w:rFonts w:hint="eastAsia"/>
          <w:spacing w:val="4"/>
          <w:highlight w:val="none"/>
          <w:lang w:eastAsia="zh-CN"/>
        </w:rPr>
        <w:t>、</w:t>
      </w:r>
      <w:r>
        <w:rPr>
          <w:spacing w:val="5"/>
          <w:highlight w:val="none"/>
        </w:rPr>
        <w:t>影像医学与核医学教研室</w:t>
      </w:r>
      <w:r>
        <w:rPr>
          <w:rFonts w:hint="eastAsia"/>
          <w:spacing w:val="5"/>
          <w:highlight w:val="none"/>
          <w:lang w:eastAsia="zh-CN"/>
        </w:rPr>
        <w:t>、</w:t>
      </w:r>
      <w:r>
        <w:rPr>
          <w:spacing w:val="5"/>
          <w:highlight w:val="none"/>
        </w:rPr>
        <w:t>临床检验诊断学教研室</w:t>
      </w:r>
      <w:r>
        <w:rPr>
          <w:rFonts w:hint="eastAsia"/>
          <w:spacing w:val="5"/>
          <w:highlight w:val="none"/>
          <w:lang w:eastAsia="zh-CN"/>
        </w:rPr>
        <w:t>、</w:t>
      </w:r>
      <w:r>
        <w:rPr>
          <w:spacing w:val="-74"/>
          <w:highlight w:val="none"/>
        </w:rPr>
        <w:t xml:space="preserve"> </w:t>
      </w:r>
      <w:r>
        <w:rPr>
          <w:spacing w:val="-3"/>
          <w:highlight w:val="none"/>
        </w:rPr>
        <w:t>口腔医学教研室。</w:t>
      </w:r>
    </w:p>
    <w:p>
      <w:pPr>
        <w:pStyle w:val="5"/>
        <w:spacing w:before="150" w:line="228" w:lineRule="auto"/>
        <w:ind w:firstLine="632" w:firstLineChars="200"/>
        <w:rPr>
          <w:rFonts w:hint="eastAsia"/>
          <w:spacing w:val="3"/>
          <w:highlight w:val="none"/>
          <w:lang w:val="en-US" w:eastAsia="zh-CN"/>
        </w:rPr>
      </w:pPr>
    </w:p>
    <w:p>
      <w:pPr>
        <w:widowControl/>
        <w:spacing w:line="600" w:lineRule="exact"/>
        <w:rPr>
          <w:rFonts w:hint="eastAsia" w:ascii="Times New Roman" w:hAnsi="Times New Roman" w:eastAsia="仿宋_GB2312" w:cs="仿宋_GB2312"/>
          <w:bCs/>
          <w:color w:val="auto"/>
          <w:kern w:val="0"/>
          <w:sz w:val="32"/>
          <w:szCs w:val="32"/>
          <w:highlight w:val="none"/>
          <w:lang w:eastAsia="zh-CN"/>
        </w:rPr>
      </w:pPr>
      <w:r>
        <w:rPr>
          <w:rFonts w:ascii="Times New Roman" w:hAnsi="Times New Roman" w:eastAsia="仿宋_GB2312" w:cs="Times New Roman"/>
          <w:bCs/>
          <w:kern w:val="0"/>
          <w:sz w:val="32"/>
          <w:szCs w:val="32"/>
          <w:highlight w:val="none"/>
        </w:rPr>
        <w:t>（二）决算单位构成。</w:t>
      </w:r>
      <w:r>
        <w:rPr>
          <w:rFonts w:hint="eastAsia" w:ascii="Times New Roman" w:hAnsi="Times New Roman" w:eastAsia="仿宋_GB2312" w:cs="仿宋_GB2312"/>
          <w:bCs/>
          <w:color w:val="auto"/>
          <w:kern w:val="0"/>
          <w:sz w:val="32"/>
          <w:szCs w:val="32"/>
          <w:highlight w:val="none"/>
          <w:lang w:eastAsia="zh-CN"/>
        </w:rPr>
        <w:t>邵阳学院附属第二医院</w:t>
      </w:r>
      <w:r>
        <w:rPr>
          <w:rFonts w:hint="eastAsia" w:ascii="Times New Roman" w:hAnsi="Times New Roman" w:eastAsia="仿宋_GB2312" w:cs="仿宋_GB2312"/>
          <w:bCs/>
          <w:color w:val="auto"/>
          <w:kern w:val="0"/>
          <w:sz w:val="32"/>
          <w:szCs w:val="32"/>
          <w:highlight w:val="none"/>
        </w:rPr>
        <w:t>202</w:t>
      </w:r>
      <w:r>
        <w:rPr>
          <w:rFonts w:hint="eastAsia" w:ascii="Times New Roman" w:hAnsi="Times New Roman" w:eastAsia="仿宋_GB2312" w:cs="仿宋_GB2312"/>
          <w:bCs/>
          <w:color w:val="auto"/>
          <w:kern w:val="0"/>
          <w:sz w:val="32"/>
          <w:szCs w:val="32"/>
          <w:highlight w:val="none"/>
          <w:lang w:val="en-US" w:eastAsia="zh-CN"/>
        </w:rPr>
        <w:t>4</w:t>
      </w:r>
      <w:r>
        <w:rPr>
          <w:rFonts w:hint="eastAsia" w:ascii="Times New Roman" w:hAnsi="Times New Roman" w:eastAsia="仿宋_GB2312" w:cs="仿宋_GB2312"/>
          <w:bCs/>
          <w:color w:val="auto"/>
          <w:kern w:val="0"/>
          <w:sz w:val="32"/>
          <w:szCs w:val="32"/>
          <w:highlight w:val="none"/>
        </w:rPr>
        <w:t>年部门决算汇总公开单位构成包括：</w:t>
      </w:r>
      <w:r>
        <w:rPr>
          <w:rFonts w:hint="eastAsia" w:ascii="Times New Roman" w:hAnsi="Times New Roman" w:eastAsia="仿宋_GB2312" w:cs="仿宋_GB2312"/>
          <w:bCs/>
          <w:color w:val="auto"/>
          <w:kern w:val="0"/>
          <w:sz w:val="32"/>
          <w:szCs w:val="32"/>
          <w:highlight w:val="none"/>
          <w:lang w:eastAsia="zh-CN"/>
        </w:rPr>
        <w:t>邵阳学院附属第二医院</w:t>
      </w:r>
      <w:r>
        <w:rPr>
          <w:rFonts w:hint="eastAsia" w:ascii="Times New Roman" w:hAnsi="Times New Roman" w:eastAsia="仿宋_GB2312" w:cs="仿宋_GB2312"/>
          <w:bCs/>
          <w:color w:val="auto"/>
          <w:kern w:val="0"/>
          <w:sz w:val="32"/>
          <w:szCs w:val="32"/>
          <w:highlight w:val="none"/>
        </w:rPr>
        <w:t>本级</w:t>
      </w:r>
      <w:r>
        <w:rPr>
          <w:rFonts w:hint="eastAsia" w:ascii="Times New Roman" w:hAnsi="Times New Roman" w:eastAsia="仿宋_GB2312" w:cs="仿宋_GB2312"/>
          <w:bCs/>
          <w:color w:val="auto"/>
          <w:kern w:val="0"/>
          <w:sz w:val="32"/>
          <w:szCs w:val="32"/>
          <w:highlight w:val="none"/>
          <w:lang w:eastAsia="zh-CN"/>
        </w:rPr>
        <w:t>。</w:t>
      </w:r>
    </w:p>
    <w:p>
      <w:pPr>
        <w:widowControl/>
        <w:spacing w:line="600" w:lineRule="exact"/>
        <w:rPr>
          <w:rFonts w:ascii="Times New Roman" w:hAnsi="Times New Roman" w:eastAsia="仿宋_GB2312" w:cs="Times New Roman"/>
          <w:bCs/>
          <w:kern w:val="0"/>
          <w:sz w:val="32"/>
          <w:szCs w:val="32"/>
          <w:highlight w:val="none"/>
        </w:rPr>
      </w:pPr>
    </w:p>
    <w:p>
      <w:pPr>
        <w:jc w:val="left"/>
        <w:rPr>
          <w:rFonts w:ascii="Times New Roman" w:hAnsi="Times New Roman" w:eastAsia="仿宋_GB2312" w:cs="Times New Roman"/>
          <w:sz w:val="28"/>
          <w:szCs w:val="32"/>
          <w:highlight w:val="none"/>
        </w:rPr>
      </w:pPr>
    </w:p>
    <w:p>
      <w:pPr>
        <w:jc w:val="center"/>
        <w:rPr>
          <w:rFonts w:ascii="Times New Roman" w:hAnsi="Times New Roman" w:eastAsia="黑体" w:cs="Times New Roman"/>
          <w:sz w:val="28"/>
          <w:szCs w:val="28"/>
          <w:highlight w:val="none"/>
        </w:rPr>
      </w:pPr>
    </w:p>
    <w:p>
      <w:pPr>
        <w:jc w:val="center"/>
        <w:rPr>
          <w:rFonts w:ascii="Times New Roman" w:hAnsi="Times New Roman" w:eastAsia="黑体" w:cs="Times New Roman"/>
          <w:sz w:val="28"/>
          <w:szCs w:val="28"/>
          <w:highlight w:val="none"/>
        </w:rPr>
      </w:pPr>
    </w:p>
    <w:p>
      <w:pPr>
        <w:jc w:val="center"/>
        <w:rPr>
          <w:rFonts w:ascii="Times New Roman" w:hAnsi="Times New Roman" w:eastAsia="黑体" w:cs="Times New Roman"/>
          <w:sz w:val="28"/>
          <w:szCs w:val="28"/>
          <w:highlight w:val="none"/>
        </w:rPr>
      </w:pPr>
    </w:p>
    <w:p>
      <w:pPr>
        <w:jc w:val="center"/>
        <w:rPr>
          <w:rFonts w:ascii="Times New Roman" w:hAnsi="Times New Roman" w:eastAsia="黑体" w:cs="Times New Roman"/>
          <w:sz w:val="28"/>
          <w:szCs w:val="28"/>
          <w:highlight w:val="none"/>
        </w:rPr>
      </w:pPr>
    </w:p>
    <w:p>
      <w:pPr>
        <w:pStyle w:val="3"/>
        <w:jc w:val="center"/>
        <w:rPr>
          <w:rFonts w:ascii="Times New Roman" w:hAnsi="Times New Roman" w:eastAsia="方正小标宋_GBK" w:cs="Times New Roman"/>
          <w:sz w:val="52"/>
          <w:szCs w:val="52"/>
          <w:highlight w:val="none"/>
        </w:rPr>
      </w:pPr>
      <w:r>
        <w:rPr>
          <w:rFonts w:ascii="Times New Roman" w:hAnsi="Times New Roman" w:eastAsia="方正小标宋_GBK" w:cs="Times New Roman"/>
          <w:sz w:val="52"/>
          <w:szCs w:val="52"/>
          <w:highlight w:val="none"/>
        </w:rPr>
        <w:t>第二部分    部门决算表</w:t>
      </w: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p>
    <w:p>
      <w:pPr>
        <w:widowControl/>
        <w:spacing w:after="156" w:afterLines="50"/>
        <w:jc w:val="both"/>
        <w:textAlignment w:val="center"/>
        <w:rPr>
          <w:rFonts w:ascii="Times New Roman" w:hAnsi="Times New Roman" w:eastAsia="黑体" w:cs="Times New Roman"/>
          <w:color w:val="000000"/>
          <w:kern w:val="0"/>
          <w:sz w:val="36"/>
          <w:szCs w:val="36"/>
          <w:highlight w:val="none"/>
          <w:lang w:bidi="ar"/>
        </w:rPr>
      </w:pPr>
    </w:p>
    <w:p>
      <w:pPr>
        <w:widowControl/>
        <w:spacing w:after="156" w:afterLines="50"/>
        <w:jc w:val="center"/>
        <w:textAlignment w:val="center"/>
        <w:rPr>
          <w:rFonts w:ascii="Times New Roman" w:hAnsi="Times New Roman" w:eastAsia="黑体" w:cs="Times New Roman"/>
          <w:color w:val="000000"/>
          <w:sz w:val="36"/>
          <w:szCs w:val="36"/>
          <w:highlight w:val="none"/>
        </w:rPr>
      </w:pPr>
      <w:r>
        <w:rPr>
          <w:rFonts w:ascii="Times New Roman" w:hAnsi="Times New Roman" w:eastAsia="黑体" w:cs="Times New Roman"/>
          <w:color w:val="000000"/>
          <w:kern w:val="0"/>
          <w:sz w:val="36"/>
          <w:szCs w:val="36"/>
          <w:highlight w:val="none"/>
          <w:lang w:bidi="ar"/>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z w:val="24"/>
          <w:szCs w:val="24"/>
          <w:highlight w:val="none"/>
        </w:rPr>
        <w:tab/>
      </w:r>
      <w:r>
        <w:rPr>
          <w:rFonts w:ascii="Times New Roman" w:hAnsi="Times New Roman" w:eastAsia="仿宋_GB2312" w:cs="Times New Roman"/>
          <w:color w:val="000000"/>
          <w:sz w:val="24"/>
          <w:szCs w:val="24"/>
          <w:highlight w:val="none"/>
        </w:rPr>
        <w:tab/>
      </w:r>
      <w:r>
        <w:rPr>
          <w:rFonts w:ascii="Times New Roman" w:hAnsi="Times New Roman" w:eastAsia="仿宋_GB2312" w:cs="Times New Roman"/>
          <w:color w:val="000000"/>
          <w:sz w:val="24"/>
          <w:szCs w:val="24"/>
          <w:highlight w:val="none"/>
        </w:rPr>
        <w:tab/>
      </w:r>
      <w:r>
        <w:rPr>
          <w:rFonts w:ascii="Times New Roman" w:hAnsi="Times New Roman" w:eastAsia="仿宋_GB2312" w:cs="Times New Roman"/>
          <w:color w:val="000000"/>
          <w:sz w:val="24"/>
          <w:szCs w:val="24"/>
          <w:highlight w:val="none"/>
        </w:rPr>
        <w:tab/>
      </w:r>
      <w:r>
        <w:rPr>
          <w:rFonts w:ascii="Times New Roman" w:hAnsi="Times New Roman" w:eastAsia="仿宋_GB2312" w:cs="Times New Roman"/>
          <w:color w:val="000000"/>
          <w:sz w:val="24"/>
          <w:szCs w:val="24"/>
          <w:highlight w:val="none"/>
        </w:rPr>
        <w:tab/>
      </w:r>
      <w:r>
        <w:rPr>
          <w:rFonts w:ascii="Times New Roman" w:hAnsi="Times New Roman" w:eastAsia="仿宋_GB2312" w:cs="Times New Roman"/>
          <w:color w:val="000000"/>
          <w:kern w:val="0"/>
          <w:sz w:val="20"/>
          <w:szCs w:val="20"/>
          <w:highlight w:val="none"/>
          <w:lang w:bidi="ar"/>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lang w:bidi="ar"/>
        </w:rPr>
        <w:t>部门：</w:t>
      </w:r>
      <w:r>
        <w:rPr>
          <w:rFonts w:hint="eastAsia" w:ascii="Times New Roman" w:hAnsi="Times New Roman" w:eastAsia="仿宋_GB2312" w:cs="Times New Roman"/>
          <w:color w:val="000000"/>
          <w:kern w:val="0"/>
          <w:sz w:val="20"/>
          <w:szCs w:val="20"/>
          <w:highlight w:val="none"/>
          <w:lang w:bidi="ar"/>
        </w:rPr>
        <w:t>邵阳学院附属第二医院</w:t>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4"/>
          <w:szCs w:val="24"/>
          <w:highlight w:val="none"/>
        </w:rPr>
        <w:tab/>
      </w:r>
      <w:r>
        <w:rPr>
          <w:rFonts w:ascii="Times New Roman" w:hAnsi="Times New Roman" w:eastAsia="仿宋_GB2312" w:cs="Times New Roman"/>
          <w:color w:val="000000"/>
          <w:sz w:val="24"/>
          <w:szCs w:val="24"/>
          <w:highlight w:val="none"/>
        </w:rPr>
        <w:tab/>
      </w:r>
      <w:r>
        <w:rPr>
          <w:rFonts w:ascii="Times New Roman" w:hAnsi="Times New Roman" w:eastAsia="仿宋_GB2312" w:cs="Times New Roman"/>
          <w:color w:val="000000"/>
          <w:sz w:val="24"/>
          <w:szCs w:val="24"/>
          <w:highlight w:val="none"/>
        </w:rPr>
        <w:tab/>
      </w:r>
      <w:r>
        <w:rPr>
          <w:rFonts w:ascii="Times New Roman" w:hAnsi="Times New Roman" w:eastAsia="仿宋_GB2312" w:cs="Times New Roman"/>
          <w:color w:val="000000"/>
          <w:sz w:val="24"/>
          <w:szCs w:val="24"/>
          <w:highlight w:val="none"/>
        </w:rPr>
        <w:tab/>
      </w:r>
      <w:r>
        <w:rPr>
          <w:rFonts w:ascii="Times New Roman" w:hAnsi="Times New Roman" w:eastAsia="仿宋_GB2312" w:cs="Times New Roman"/>
          <w:color w:val="000000"/>
          <w:kern w:val="0"/>
          <w:sz w:val="20"/>
          <w:szCs w:val="20"/>
          <w:highlight w:val="none"/>
          <w:lang w:bidi="ar"/>
        </w:rPr>
        <w:t>单位：万元</w:t>
      </w:r>
    </w:p>
    <w:tbl>
      <w:tblPr>
        <w:tblStyle w:val="14"/>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支出</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决算数</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2</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2,436.05</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四、上级补助收入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五、事业收入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37,378.89</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六、经营收入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9.81</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七、附属单位上缴收入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八、其他收入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2,373.67</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4,034.36</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35,519.13</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1,069.72</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0"/>
                <w:szCs w:val="20"/>
                <w:highlight w:val="none"/>
                <w:u w:val="none"/>
                <w:lang w:val="en-US" w:eastAsia="zh-CN" w:bidi="ar"/>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0"/>
                <w:szCs w:val="20"/>
                <w:highlight w:val="none"/>
                <w:u w:val="none"/>
                <w:lang w:val="en-US" w:eastAsia="zh-CN" w:bidi="ar"/>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highlight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仿宋_GB2312" w:cs="Times New Roman"/>
                <w:b w:val="0"/>
                <w:bCs/>
                <w:color w:val="000000"/>
                <w:sz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b/>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42,188.61</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b/>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40,633.02</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1,358.69</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317.19</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514.09</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b/>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42,505.80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b/>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color w:val="000000"/>
                <w:sz w:val="22"/>
                <w:highlight w:val="none"/>
              </w:rPr>
            </w:pPr>
            <w:r>
              <w:rPr>
                <w:rFonts w:hint="eastAsia" w:ascii="宋体" w:hAnsi="宋体" w:eastAsia="宋体" w:cs="宋体"/>
                <w:i w:val="0"/>
                <w:iCs w:val="0"/>
                <w:color w:val="000000"/>
                <w:kern w:val="0"/>
                <w:sz w:val="22"/>
                <w:szCs w:val="22"/>
                <w:highlight w:val="none"/>
                <w:u w:val="none"/>
                <w:lang w:val="en-US" w:eastAsia="zh-CN" w:bidi="ar"/>
              </w:rPr>
              <w:t>42,505.80</w:t>
            </w:r>
          </w:p>
        </w:tc>
      </w:tr>
    </w:tbl>
    <w:p>
      <w:pPr>
        <w:widowControl/>
        <w:jc w:val="left"/>
        <w:textAlignment w:val="center"/>
        <w:rPr>
          <w:rFonts w:ascii="Times New Roman" w:hAnsi="Times New Roman" w:eastAsia="宋体" w:cs="Times New Roman"/>
          <w:color w:val="000000"/>
          <w:kern w:val="0"/>
          <w:sz w:val="24"/>
          <w:szCs w:val="24"/>
          <w:highlight w:val="none"/>
          <w:lang w:bidi="ar"/>
        </w:rPr>
      </w:pPr>
    </w:p>
    <w:p>
      <w:pPr>
        <w:widowControl/>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注：1.本表反映部门本年度的总收支和年末结转结余情况。</w:t>
      </w:r>
      <w:r>
        <w:rPr>
          <w:rFonts w:ascii="Times New Roman" w:hAnsi="Times New Roman" w:eastAsia="仿宋_GB2312" w:cs="Times New Roman"/>
          <w:color w:val="000000"/>
          <w:kern w:val="0"/>
          <w:sz w:val="24"/>
          <w:szCs w:val="24"/>
          <w:highlight w:val="none"/>
          <w:lang w:bidi="ar"/>
        </w:rPr>
        <w:br w:type="textWrapping"/>
      </w:r>
      <w:r>
        <w:rPr>
          <w:rFonts w:ascii="Times New Roman" w:hAnsi="Times New Roman" w:eastAsia="仿宋_GB2312" w:cs="Times New Roman"/>
          <w:color w:val="000000"/>
          <w:kern w:val="0"/>
          <w:sz w:val="24"/>
          <w:szCs w:val="24"/>
          <w:highlight w:val="none"/>
          <w:lang w:bidi="ar"/>
        </w:rPr>
        <w:t xml:space="preserve">    2.本套报表金额单位转换时可能存在尾数误差。</w:t>
      </w:r>
    </w:p>
    <w:p>
      <w:pPr>
        <w:rPr>
          <w:rFonts w:ascii="Times New Roman" w:hAnsi="Times New Roman" w:eastAsia="华文中宋" w:cs="Times New Roman"/>
          <w:color w:val="000000"/>
          <w:sz w:val="32"/>
          <w:szCs w:val="32"/>
          <w:highlight w:val="none"/>
        </w:rPr>
      </w:pPr>
      <w:r>
        <w:rPr>
          <w:rFonts w:ascii="Times New Roman" w:hAnsi="Times New Roman" w:eastAsia="华文中宋" w:cs="Times New Roman"/>
          <w:color w:val="000000"/>
          <w:sz w:val="32"/>
          <w:szCs w:val="32"/>
          <w:highlight w:val="none"/>
        </w:rPr>
        <w:br w:type="page"/>
      </w:r>
    </w:p>
    <w:p>
      <w:pPr>
        <w:widowControl/>
        <w:spacing w:after="156" w:afterLines="50"/>
        <w:jc w:val="center"/>
        <w:textAlignment w:val="center"/>
        <w:rPr>
          <w:rFonts w:ascii="Times New Roman" w:hAnsi="Times New Roman" w:eastAsia="黑体" w:cs="Times New Roman"/>
          <w:color w:val="000000"/>
          <w:kern w:val="0"/>
          <w:sz w:val="36"/>
          <w:szCs w:val="36"/>
          <w:highlight w:val="none"/>
          <w:shd w:val="clear" w:color="auto" w:fill="auto"/>
          <w:lang w:bidi="ar"/>
        </w:rPr>
      </w:pPr>
      <w:r>
        <w:rPr>
          <w:rFonts w:ascii="Times New Roman" w:hAnsi="Times New Roman" w:eastAsia="黑体" w:cs="Times New Roman"/>
          <w:color w:val="000000"/>
          <w:kern w:val="0"/>
          <w:sz w:val="36"/>
          <w:szCs w:val="36"/>
          <w:highlight w:val="none"/>
          <w:shd w:val="clear" w:color="auto" w:fill="auto"/>
          <w:lang w:bidi="ar"/>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highlight w:val="none"/>
          <w:shd w:val="clear" w:color="auto" w:fill="auto"/>
        </w:rPr>
      </w:pP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color w:val="000000"/>
          <w:sz w:val="20"/>
          <w:szCs w:val="20"/>
          <w:highlight w:val="none"/>
          <w:shd w:val="clear" w:color="auto" w:fill="auto"/>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highlight w:val="none"/>
          <w:shd w:val="clear" w:color="auto" w:fill="auto"/>
        </w:rPr>
      </w:pPr>
      <w:r>
        <w:rPr>
          <w:rFonts w:ascii="Times New Roman" w:hAnsi="Times New Roman" w:eastAsia="仿宋_GB2312" w:cs="Times New Roman"/>
          <w:color w:val="000000"/>
          <w:sz w:val="20"/>
          <w:szCs w:val="20"/>
          <w:highlight w:val="none"/>
          <w:shd w:val="clear" w:color="auto" w:fill="auto"/>
        </w:rPr>
        <w:t>部门：</w:t>
      </w:r>
      <w:r>
        <w:rPr>
          <w:rFonts w:ascii="Times New Roman" w:hAnsi="Times New Roman" w:eastAsia="仿宋_GB2312" w:cs="Times New Roman"/>
          <w:color w:val="000000"/>
          <w:sz w:val="20"/>
          <w:szCs w:val="20"/>
          <w:highlight w:val="none"/>
          <w:shd w:val="clear" w:color="auto" w:fill="auto"/>
        </w:rPr>
        <w:tab/>
      </w:r>
      <w:r>
        <w:rPr>
          <w:rFonts w:ascii="Times New Roman" w:hAnsi="Times New Roman" w:eastAsia="仿宋_GB2312" w:cs="Times New Roman"/>
          <w:highlight w:val="none"/>
          <w:shd w:val="clear" w:color="auto" w:fill="auto"/>
        </w:rPr>
        <w:t>　</w:t>
      </w:r>
      <w:r>
        <w:rPr>
          <w:rFonts w:hint="eastAsia" w:ascii="Times New Roman" w:hAnsi="Times New Roman" w:eastAsia="仿宋_GB2312" w:cs="Times New Roman"/>
          <w:highlight w:val="none"/>
          <w:shd w:val="clear" w:color="auto" w:fill="auto"/>
        </w:rPr>
        <w:t>邵阳学院附属第二医院</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color w:val="000000"/>
          <w:sz w:val="20"/>
          <w:szCs w:val="20"/>
          <w:highlight w:val="none"/>
          <w:shd w:val="clear" w:color="auto" w:fill="auto"/>
        </w:rPr>
        <w:t>　</w:t>
      </w:r>
      <w:r>
        <w:rPr>
          <w:rFonts w:ascii="Times New Roman" w:hAnsi="Times New Roman" w:eastAsia="仿宋_GB2312" w:cs="Times New Roman"/>
          <w:color w:val="000000"/>
          <w:sz w:val="20"/>
          <w:szCs w:val="20"/>
          <w:highlight w:val="none"/>
          <w:shd w:val="clear" w:color="auto" w:fill="auto"/>
        </w:rPr>
        <w:tab/>
      </w: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highlight w:val="none"/>
          <w:shd w:val="clear" w:color="auto" w:fill="auto"/>
        </w:rPr>
        <w:t>　</w:t>
      </w:r>
      <w:r>
        <w:rPr>
          <w:rFonts w:ascii="Times New Roman" w:hAnsi="Times New Roman" w:eastAsia="仿宋_GB2312" w:cs="Times New Roman"/>
          <w:sz w:val="24"/>
          <w:szCs w:val="24"/>
          <w:highlight w:val="none"/>
          <w:shd w:val="clear" w:color="auto" w:fill="auto"/>
        </w:rPr>
        <w:tab/>
      </w:r>
      <w:r>
        <w:rPr>
          <w:rFonts w:ascii="Times New Roman" w:hAnsi="Times New Roman" w:eastAsia="仿宋_GB2312" w:cs="Times New Roman"/>
          <w:color w:val="000000"/>
          <w:sz w:val="20"/>
          <w:szCs w:val="20"/>
          <w:highlight w:val="none"/>
          <w:shd w:val="clear" w:color="auto" w:fill="auto"/>
        </w:rPr>
        <w:t>单位：万元</w:t>
      </w:r>
    </w:p>
    <w:tbl>
      <w:tblPr>
        <w:tblStyle w:val="14"/>
        <w:tblW w:w="14818" w:type="dxa"/>
        <w:jc w:val="center"/>
        <w:tblLayout w:type="fixed"/>
        <w:tblCellMar>
          <w:top w:w="0" w:type="dxa"/>
          <w:left w:w="0" w:type="dxa"/>
          <w:bottom w:w="0" w:type="dxa"/>
          <w:right w:w="0" w:type="dxa"/>
        </w:tblCellMar>
      </w:tblPr>
      <w:tblGrid>
        <w:gridCol w:w="1215"/>
        <w:gridCol w:w="2005"/>
        <w:gridCol w:w="1657"/>
        <w:gridCol w:w="1657"/>
        <w:gridCol w:w="1657"/>
        <w:gridCol w:w="1657"/>
        <w:gridCol w:w="1657"/>
        <w:gridCol w:w="1916"/>
        <w:gridCol w:w="1397"/>
      </w:tblGrid>
      <w:tr>
        <w:tblPrEx>
          <w:tblCellMar>
            <w:top w:w="0" w:type="dxa"/>
            <w:left w:w="0" w:type="dxa"/>
            <w:bottom w:w="0" w:type="dxa"/>
            <w:right w:w="0" w:type="dxa"/>
          </w:tblCellMar>
        </w:tblPrEx>
        <w:trPr>
          <w:trHeight w:val="236" w:hRule="atLeast"/>
          <w:jc w:val="center"/>
        </w:trPr>
        <w:tc>
          <w:tcPr>
            <w:tcW w:w="322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highlight w:val="none"/>
                <w:shd w:val="clear" w:color="auto" w:fill="auto"/>
              </w:rPr>
            </w:pPr>
            <w:r>
              <w:rPr>
                <w:rFonts w:ascii="Times New Roman" w:hAnsi="Times New Roman" w:eastAsia="仿宋_GB2312" w:cs="Times New Roman"/>
                <w:b/>
                <w:bCs/>
                <w:highlight w:val="none"/>
                <w:shd w:val="clear" w:color="auto" w:fill="auto"/>
              </w:rPr>
              <w:t>项    目</w:t>
            </w:r>
          </w:p>
        </w:tc>
        <w:tc>
          <w:tcPr>
            <w:tcW w:w="16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highlight w:val="none"/>
                <w:shd w:val="clear" w:color="auto" w:fill="auto"/>
              </w:rPr>
            </w:pPr>
            <w:r>
              <w:rPr>
                <w:rFonts w:ascii="Times New Roman" w:hAnsi="Times New Roman" w:eastAsia="仿宋_GB2312" w:cs="Times New Roman"/>
                <w:b/>
                <w:bCs/>
                <w:highlight w:val="none"/>
                <w:shd w:val="clear" w:color="auto" w:fill="auto"/>
              </w:rPr>
              <w:t>本年收入合计</w:t>
            </w:r>
          </w:p>
        </w:tc>
        <w:tc>
          <w:tcPr>
            <w:tcW w:w="165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highlight w:val="none"/>
                <w:shd w:val="clear" w:color="auto" w:fill="auto"/>
              </w:rPr>
            </w:pPr>
            <w:r>
              <w:rPr>
                <w:rFonts w:ascii="Times New Roman" w:hAnsi="Times New Roman" w:eastAsia="仿宋_GB2312" w:cs="Times New Roman"/>
                <w:b/>
                <w:bCs/>
                <w:highlight w:val="none"/>
                <w:shd w:val="clear" w:color="auto" w:fill="auto"/>
              </w:rPr>
              <w:t>财政拨款收入</w:t>
            </w:r>
          </w:p>
        </w:tc>
        <w:tc>
          <w:tcPr>
            <w:tcW w:w="16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highlight w:val="none"/>
                <w:shd w:val="clear" w:color="auto" w:fill="auto"/>
              </w:rPr>
            </w:pPr>
            <w:r>
              <w:rPr>
                <w:rFonts w:ascii="Times New Roman" w:hAnsi="Times New Roman" w:eastAsia="仿宋_GB2312" w:cs="Times New Roman"/>
                <w:b/>
                <w:bCs/>
                <w:highlight w:val="none"/>
                <w:shd w:val="clear" w:color="auto" w:fill="auto"/>
              </w:rPr>
              <w:t>上级补助收入</w:t>
            </w:r>
          </w:p>
        </w:tc>
        <w:tc>
          <w:tcPr>
            <w:tcW w:w="16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highlight w:val="none"/>
                <w:shd w:val="clear" w:color="auto" w:fill="auto"/>
              </w:rPr>
            </w:pPr>
            <w:r>
              <w:rPr>
                <w:rFonts w:ascii="Times New Roman" w:hAnsi="Times New Roman" w:eastAsia="仿宋_GB2312" w:cs="Times New Roman"/>
                <w:b/>
                <w:bCs/>
                <w:highlight w:val="none"/>
                <w:shd w:val="clear" w:color="auto" w:fill="auto"/>
              </w:rPr>
              <w:t>事业收入</w:t>
            </w:r>
          </w:p>
        </w:tc>
        <w:tc>
          <w:tcPr>
            <w:tcW w:w="16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highlight w:val="none"/>
                <w:shd w:val="clear" w:color="auto" w:fill="auto"/>
              </w:rPr>
            </w:pPr>
            <w:r>
              <w:rPr>
                <w:rFonts w:ascii="Times New Roman" w:hAnsi="Times New Roman" w:eastAsia="仿宋_GB2312" w:cs="Times New Roman"/>
                <w:b/>
                <w:bCs/>
                <w:highlight w:val="none"/>
                <w:shd w:val="clear" w:color="auto" w:fill="auto"/>
              </w:rPr>
              <w:t>经营收入</w:t>
            </w:r>
          </w:p>
        </w:tc>
        <w:tc>
          <w:tcPr>
            <w:tcW w:w="19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highlight w:val="none"/>
                <w:shd w:val="clear" w:color="auto" w:fill="auto"/>
              </w:rPr>
            </w:pPr>
            <w:r>
              <w:rPr>
                <w:rFonts w:ascii="Times New Roman" w:hAnsi="Times New Roman" w:eastAsia="仿宋_GB2312" w:cs="Times New Roman"/>
                <w:b/>
                <w:bCs/>
                <w:highlight w:val="none"/>
                <w:shd w:val="clear" w:color="auto" w:fill="auto"/>
              </w:rPr>
              <w:t>附属单位上缴收入</w:t>
            </w:r>
          </w:p>
        </w:tc>
        <w:tc>
          <w:tcPr>
            <w:tcW w:w="13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highlight w:val="none"/>
                <w:shd w:val="clear" w:color="auto" w:fill="auto"/>
              </w:rPr>
            </w:pPr>
            <w:r>
              <w:rPr>
                <w:rFonts w:ascii="Times New Roman" w:hAnsi="Times New Roman" w:eastAsia="仿宋_GB2312" w:cs="Times New Roman"/>
                <w:b/>
                <w:bCs/>
                <w:highlight w:val="none"/>
                <w:shd w:val="clear" w:color="auto" w:fill="auto"/>
              </w:rPr>
              <w:t>其他收入</w:t>
            </w:r>
          </w:p>
        </w:tc>
      </w:tr>
      <w:tr>
        <w:tblPrEx>
          <w:tblCellMar>
            <w:top w:w="0" w:type="dxa"/>
            <w:left w:w="0" w:type="dxa"/>
            <w:bottom w:w="0" w:type="dxa"/>
            <w:right w:w="0" w:type="dxa"/>
          </w:tblCellMar>
        </w:tblPrEx>
        <w:trPr>
          <w:trHeight w:val="312" w:hRule="exact"/>
          <w:jc w:val="center"/>
        </w:trPr>
        <w:tc>
          <w:tcPr>
            <w:tcW w:w="12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highlight w:val="none"/>
                <w:shd w:val="clear" w:color="auto" w:fill="auto"/>
              </w:rPr>
            </w:pPr>
            <w:r>
              <w:rPr>
                <w:rFonts w:ascii="Times New Roman" w:hAnsi="Times New Roman" w:eastAsia="仿宋_GB2312" w:cs="Times New Roman"/>
                <w:b/>
                <w:bCs/>
                <w:highlight w:val="none"/>
                <w:shd w:val="clear" w:color="auto" w:fill="auto"/>
              </w:rPr>
              <w:t>功能分类科目编码</w:t>
            </w:r>
          </w:p>
        </w:tc>
        <w:tc>
          <w:tcPr>
            <w:tcW w:w="200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highlight w:val="none"/>
                <w:shd w:val="clear" w:color="auto" w:fill="auto"/>
              </w:rPr>
            </w:pPr>
            <w:r>
              <w:rPr>
                <w:rFonts w:ascii="Times New Roman" w:hAnsi="Times New Roman" w:eastAsia="仿宋_GB2312" w:cs="Times New Roman"/>
                <w:b/>
                <w:bCs/>
                <w:highlight w:val="none"/>
                <w:shd w:val="clear" w:color="auto" w:fill="auto"/>
              </w:rPr>
              <w:t>科目名称</w:t>
            </w: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191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13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r>
      <w:tr>
        <w:tblPrEx>
          <w:tblCellMar>
            <w:top w:w="0" w:type="dxa"/>
            <w:left w:w="0" w:type="dxa"/>
            <w:bottom w:w="0" w:type="dxa"/>
            <w:right w:w="0" w:type="dxa"/>
          </w:tblCellMar>
        </w:tblPrEx>
        <w:trPr>
          <w:trHeight w:val="312"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200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191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c>
          <w:tcPr>
            <w:tcW w:w="13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highlight w:val="none"/>
                <w:shd w:val="clear" w:color="auto" w:fill="auto"/>
              </w:rPr>
            </w:pPr>
          </w:p>
        </w:tc>
      </w:tr>
      <w:tr>
        <w:tblPrEx>
          <w:tblCellMar>
            <w:top w:w="0" w:type="dxa"/>
            <w:left w:w="0" w:type="dxa"/>
            <w:bottom w:w="0" w:type="dxa"/>
            <w:right w:w="0" w:type="dxa"/>
          </w:tblCellMar>
        </w:tblPrEx>
        <w:trPr>
          <w:trHeight w:val="90" w:hRule="atLeast"/>
          <w:jc w:val="center"/>
        </w:trPr>
        <w:tc>
          <w:tcPr>
            <w:tcW w:w="32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highlight w:val="none"/>
                <w:shd w:val="clear" w:color="auto" w:fill="auto"/>
              </w:rPr>
            </w:pPr>
            <w:r>
              <w:rPr>
                <w:rFonts w:ascii="Times New Roman" w:hAnsi="Times New Roman" w:eastAsia="仿宋_GB2312" w:cs="Times New Roman"/>
                <w:highlight w:val="none"/>
                <w:shd w:val="clear" w:color="auto" w:fill="auto"/>
              </w:rPr>
              <w:t>栏次</w:t>
            </w:r>
          </w:p>
        </w:tc>
        <w:tc>
          <w:tcPr>
            <w:tcW w:w="16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highlight w:val="none"/>
                <w:shd w:val="clear" w:color="auto" w:fill="auto"/>
              </w:rPr>
            </w:pPr>
            <w:r>
              <w:rPr>
                <w:rFonts w:ascii="Times New Roman" w:hAnsi="Times New Roman" w:eastAsia="仿宋_GB2312" w:cs="Times New Roman"/>
                <w:highlight w:val="none"/>
                <w:shd w:val="clear" w:color="auto" w:fill="auto"/>
              </w:rPr>
              <w:t>1</w:t>
            </w:r>
          </w:p>
        </w:tc>
        <w:tc>
          <w:tcPr>
            <w:tcW w:w="16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highlight w:val="none"/>
                <w:shd w:val="clear" w:color="auto" w:fill="auto"/>
              </w:rPr>
            </w:pPr>
            <w:r>
              <w:rPr>
                <w:rFonts w:ascii="Times New Roman" w:hAnsi="Times New Roman" w:eastAsia="仿宋_GB2312" w:cs="Times New Roman"/>
                <w:highlight w:val="none"/>
                <w:shd w:val="clear" w:color="auto" w:fill="auto"/>
              </w:rPr>
              <w:t>2</w:t>
            </w:r>
          </w:p>
        </w:tc>
        <w:tc>
          <w:tcPr>
            <w:tcW w:w="16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highlight w:val="none"/>
                <w:shd w:val="clear" w:color="auto" w:fill="auto"/>
              </w:rPr>
            </w:pPr>
            <w:r>
              <w:rPr>
                <w:rFonts w:ascii="Times New Roman" w:hAnsi="Times New Roman" w:eastAsia="仿宋_GB2312" w:cs="Times New Roman"/>
                <w:highlight w:val="none"/>
                <w:shd w:val="clear" w:color="auto" w:fill="auto"/>
              </w:rPr>
              <w:t>3</w:t>
            </w:r>
          </w:p>
        </w:tc>
        <w:tc>
          <w:tcPr>
            <w:tcW w:w="16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highlight w:val="none"/>
                <w:shd w:val="clear" w:color="auto" w:fill="auto"/>
              </w:rPr>
            </w:pPr>
            <w:r>
              <w:rPr>
                <w:rFonts w:ascii="Times New Roman" w:hAnsi="Times New Roman" w:eastAsia="仿宋_GB2312" w:cs="Times New Roman"/>
                <w:highlight w:val="none"/>
                <w:shd w:val="clear" w:color="auto" w:fill="auto"/>
              </w:rPr>
              <w:t>4</w:t>
            </w:r>
          </w:p>
        </w:tc>
        <w:tc>
          <w:tcPr>
            <w:tcW w:w="16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highlight w:val="none"/>
                <w:shd w:val="clear" w:color="auto" w:fill="auto"/>
              </w:rPr>
            </w:pPr>
            <w:r>
              <w:rPr>
                <w:rFonts w:ascii="Times New Roman" w:hAnsi="Times New Roman" w:eastAsia="仿宋_GB2312" w:cs="Times New Roman"/>
                <w:highlight w:val="none"/>
                <w:shd w:val="clear" w:color="auto" w:fill="auto"/>
              </w:rPr>
              <w:t>5</w:t>
            </w:r>
          </w:p>
        </w:tc>
        <w:tc>
          <w:tcPr>
            <w:tcW w:w="19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highlight w:val="none"/>
                <w:shd w:val="clear" w:color="auto" w:fill="auto"/>
              </w:rPr>
            </w:pPr>
            <w:r>
              <w:rPr>
                <w:rFonts w:ascii="Times New Roman" w:hAnsi="Times New Roman" w:eastAsia="仿宋_GB2312" w:cs="Times New Roman"/>
                <w:highlight w:val="none"/>
                <w:shd w:val="clear" w:color="auto" w:fill="auto"/>
              </w:rPr>
              <w:t>6</w:t>
            </w:r>
          </w:p>
        </w:tc>
        <w:tc>
          <w:tcPr>
            <w:tcW w:w="13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highlight w:val="none"/>
                <w:shd w:val="clear" w:color="auto" w:fill="auto"/>
              </w:rPr>
            </w:pPr>
            <w:r>
              <w:rPr>
                <w:rFonts w:ascii="Times New Roman" w:hAnsi="Times New Roman" w:eastAsia="仿宋_GB2312" w:cs="Times New Roman"/>
                <w:highlight w:val="none"/>
                <w:shd w:val="clear" w:color="auto" w:fill="auto"/>
              </w:rPr>
              <w:t>7</w:t>
            </w:r>
          </w:p>
        </w:tc>
      </w:tr>
      <w:tr>
        <w:tblPrEx>
          <w:tblCellMar>
            <w:top w:w="0" w:type="dxa"/>
            <w:left w:w="0" w:type="dxa"/>
            <w:bottom w:w="0" w:type="dxa"/>
            <w:right w:w="0" w:type="dxa"/>
          </w:tblCellMar>
        </w:tblPrEx>
        <w:trPr>
          <w:trHeight w:val="236" w:hRule="atLeast"/>
          <w:jc w:val="center"/>
        </w:trPr>
        <w:tc>
          <w:tcPr>
            <w:tcW w:w="32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highlight w:val="none"/>
                <w:shd w:val="clear" w:color="auto" w:fill="auto"/>
              </w:rPr>
            </w:pPr>
            <w:r>
              <w:rPr>
                <w:rFonts w:ascii="Times New Roman" w:hAnsi="Times New Roman" w:eastAsia="仿宋_GB2312" w:cs="Times New Roman"/>
                <w:highlight w:val="none"/>
                <w:shd w:val="clear" w:color="auto" w:fill="auto"/>
              </w:rPr>
              <w:t>合计</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b/>
                <w:bCs/>
                <w:i w:val="0"/>
                <w:iCs w:val="0"/>
                <w:color w:val="000000"/>
                <w:kern w:val="0"/>
                <w:sz w:val="22"/>
                <w:szCs w:val="22"/>
                <w:highlight w:val="none"/>
                <w:u w:val="none"/>
                <w:lang w:val="en-US" w:eastAsia="zh-CN" w:bidi="ar"/>
              </w:rPr>
              <w:t>42,188.61</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b/>
                <w:bCs/>
                <w:i w:val="0"/>
                <w:iCs w:val="0"/>
                <w:color w:val="000000"/>
                <w:kern w:val="0"/>
                <w:sz w:val="22"/>
                <w:szCs w:val="22"/>
                <w:highlight w:val="none"/>
                <w:u w:val="none"/>
                <w:lang w:val="en-US" w:eastAsia="zh-CN" w:bidi="ar"/>
              </w:rPr>
              <w:t>2,436.05</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b/>
                <w:bCs/>
                <w:i w:val="0"/>
                <w:iCs w:val="0"/>
                <w:color w:val="000000"/>
                <w:kern w:val="0"/>
                <w:sz w:val="22"/>
                <w:szCs w:val="22"/>
                <w:highlight w:val="none"/>
                <w:u w:val="none"/>
                <w:lang w:val="en-US" w:eastAsia="zh-CN" w:bidi="ar"/>
              </w:rPr>
              <w:t>37,378.89</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imes New Roman" w:hAnsi="Times New Roman" w:eastAsia="仿宋_GB2312" w:cs="Times New Roman"/>
                <w:b/>
                <w:bCs/>
                <w:sz w:val="24"/>
                <w:szCs w:val="24"/>
                <w:highlight w:val="none"/>
                <w:shd w:val="clear" w:color="auto" w:fill="auto"/>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9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imes New Roman" w:hAnsi="Times New Roman" w:eastAsia="仿宋_GB2312" w:cs="Times New Roman"/>
                <w:b/>
                <w:bCs/>
                <w:sz w:val="24"/>
                <w:szCs w:val="24"/>
                <w:highlight w:val="none"/>
                <w:shd w:val="clear" w:color="auto" w:fill="auto"/>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3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b/>
                <w:bCs/>
                <w:i w:val="0"/>
                <w:iCs w:val="0"/>
                <w:color w:val="000000"/>
                <w:kern w:val="0"/>
                <w:sz w:val="22"/>
                <w:szCs w:val="22"/>
                <w:highlight w:val="none"/>
                <w:u w:val="none"/>
                <w:lang w:val="en-US" w:eastAsia="zh-CN" w:bidi="ar"/>
              </w:rPr>
              <w:t>2,373.67</w:t>
            </w:r>
          </w:p>
        </w:tc>
      </w:tr>
      <w:tr>
        <w:tblPrEx>
          <w:tblCellMar>
            <w:top w:w="0" w:type="dxa"/>
            <w:left w:w="0" w:type="dxa"/>
            <w:bottom w:w="0" w:type="dxa"/>
            <w:right w:w="0" w:type="dxa"/>
          </w:tblCellMar>
        </w:tblPrEx>
        <w:trPr>
          <w:trHeight w:val="415" w:hRule="atLeast"/>
          <w:jc w:val="center"/>
        </w:trPr>
        <w:tc>
          <w:tcPr>
            <w:tcW w:w="121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2060799</w:t>
            </w:r>
          </w:p>
        </w:tc>
        <w:tc>
          <w:tcPr>
            <w:tcW w:w="2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其他科学技术普及支出</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5.00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5.00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9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3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415" w:hRule="atLeast"/>
          <w:jc w:val="center"/>
        </w:trPr>
        <w:tc>
          <w:tcPr>
            <w:tcW w:w="121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2080502</w:t>
            </w:r>
          </w:p>
        </w:tc>
        <w:tc>
          <w:tcPr>
            <w:tcW w:w="2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事业单位离退休</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136.51</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136.51</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9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3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813" w:hRule="atLeast"/>
          <w:jc w:val="center"/>
        </w:trPr>
        <w:tc>
          <w:tcPr>
            <w:tcW w:w="121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2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1,715.20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1,715.20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9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3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614" w:hRule="atLeast"/>
          <w:jc w:val="center"/>
        </w:trPr>
        <w:tc>
          <w:tcPr>
            <w:tcW w:w="121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2080506</w:t>
            </w:r>
          </w:p>
        </w:tc>
        <w:tc>
          <w:tcPr>
            <w:tcW w:w="2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机关事业单位职业年金缴费支出</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833.91</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833.91</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9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3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614" w:hRule="atLeast"/>
          <w:jc w:val="center"/>
        </w:trPr>
        <w:tc>
          <w:tcPr>
            <w:tcW w:w="121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2089999</w:t>
            </w:r>
          </w:p>
        </w:tc>
        <w:tc>
          <w:tcPr>
            <w:tcW w:w="20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其他社会保障和就业支出</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1,348.75</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1,348.75</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3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236" w:hRule="atLeast"/>
          <w:jc w:val="center"/>
        </w:trPr>
        <w:tc>
          <w:tcPr>
            <w:tcW w:w="121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2100201</w:t>
            </w:r>
          </w:p>
        </w:tc>
        <w:tc>
          <w:tcPr>
            <w:tcW w:w="20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综合医院</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36,193.63</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1,545.15</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32,274.81</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3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2,373.67</w:t>
            </w:r>
          </w:p>
        </w:tc>
      </w:tr>
      <w:tr>
        <w:tblPrEx>
          <w:tblCellMar>
            <w:top w:w="0" w:type="dxa"/>
            <w:left w:w="0" w:type="dxa"/>
            <w:bottom w:w="0" w:type="dxa"/>
            <w:right w:w="0" w:type="dxa"/>
          </w:tblCellMar>
        </w:tblPrEx>
        <w:trPr>
          <w:trHeight w:val="415" w:hRule="atLeast"/>
          <w:jc w:val="center"/>
        </w:trPr>
        <w:tc>
          <w:tcPr>
            <w:tcW w:w="121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2100299</w:t>
            </w:r>
          </w:p>
        </w:tc>
        <w:tc>
          <w:tcPr>
            <w:tcW w:w="20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其他公立医院支出</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108.30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108.30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3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48" w:hRule="atLeast"/>
          <w:jc w:val="center"/>
        </w:trPr>
        <w:tc>
          <w:tcPr>
            <w:tcW w:w="121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2100409</w:t>
            </w:r>
          </w:p>
        </w:tc>
        <w:tc>
          <w:tcPr>
            <w:tcW w:w="20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重大公共卫生服务</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12.00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12.00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3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415" w:hRule="atLeast"/>
          <w:jc w:val="center"/>
        </w:trPr>
        <w:tc>
          <w:tcPr>
            <w:tcW w:w="121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2100499</w:t>
            </w:r>
          </w:p>
        </w:tc>
        <w:tc>
          <w:tcPr>
            <w:tcW w:w="20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其他公共卫生支出</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165.60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165.60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3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415" w:hRule="atLeast"/>
          <w:jc w:val="center"/>
        </w:trPr>
        <w:tc>
          <w:tcPr>
            <w:tcW w:w="121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2109999</w:t>
            </w:r>
          </w:p>
        </w:tc>
        <w:tc>
          <w:tcPr>
            <w:tcW w:w="20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其他卫生健康支出</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600.00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600.00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3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252" w:hRule="atLeast"/>
          <w:jc w:val="center"/>
        </w:trPr>
        <w:tc>
          <w:tcPr>
            <w:tcW w:w="121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20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1,069.72</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1,069.72</w:t>
            </w:r>
          </w:p>
        </w:tc>
        <w:tc>
          <w:tcPr>
            <w:tcW w:w="16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9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c>
          <w:tcPr>
            <w:tcW w:w="13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highlight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0.00</w:t>
            </w:r>
          </w:p>
        </w:tc>
      </w:tr>
    </w:tbl>
    <w:p>
      <w:pPr>
        <w:spacing w:before="120"/>
        <w:rPr>
          <w:rFonts w:ascii="Times New Roman" w:hAnsi="Times New Roman" w:eastAsia="仿宋_GB2312" w:cs="Times New Roman"/>
          <w:sz w:val="24"/>
          <w:szCs w:val="24"/>
          <w:highlight w:val="none"/>
          <w:shd w:val="clear" w:color="auto" w:fill="auto"/>
        </w:rPr>
      </w:pPr>
      <w:r>
        <w:rPr>
          <w:rFonts w:ascii="Times New Roman" w:hAnsi="Times New Roman" w:eastAsia="仿宋_GB2312" w:cs="Times New Roman"/>
          <w:highlight w:val="none"/>
          <w:shd w:val="clear" w:color="auto" w:fill="auto"/>
        </w:rPr>
        <w:t>注：本表反映部门本年度取得的各项收入情况。</w:t>
      </w:r>
    </w:p>
    <w:p>
      <w:pPr>
        <w:widowControl/>
        <w:jc w:val="center"/>
        <w:rPr>
          <w:rFonts w:ascii="Times New Roman" w:hAnsi="Times New Roman" w:eastAsia="黑体" w:cs="Times New Roman"/>
          <w:color w:val="000000"/>
          <w:kern w:val="0"/>
          <w:sz w:val="36"/>
          <w:szCs w:val="36"/>
          <w:highlight w:val="none"/>
          <w:lang w:bidi="ar"/>
        </w:rPr>
      </w:pPr>
      <w:r>
        <w:rPr>
          <w:rFonts w:ascii="Times New Roman" w:hAnsi="Times New Roman" w:eastAsia="黑体" w:cs="Times New Roman"/>
          <w:color w:val="000000"/>
          <w:kern w:val="0"/>
          <w:sz w:val="36"/>
          <w:szCs w:val="36"/>
          <w:highlight w:val="none"/>
          <w:lang w:bidi="ar"/>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color w:val="000000"/>
          <w:kern w:val="0"/>
          <w:sz w:val="20"/>
          <w:szCs w:val="20"/>
          <w:highlight w:val="none"/>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部门：</w:t>
      </w:r>
      <w:r>
        <w:rPr>
          <w:rFonts w:hint="eastAsia" w:ascii="Times New Roman" w:hAnsi="Times New Roman" w:eastAsia="仿宋_GB2312" w:cs="Times New Roman"/>
          <w:color w:val="000000"/>
          <w:kern w:val="0"/>
          <w:sz w:val="20"/>
          <w:szCs w:val="20"/>
          <w:highlight w:val="none"/>
        </w:rPr>
        <w:t>邵阳学院附属第二医院</w:t>
      </w:r>
      <w:r>
        <w:rPr>
          <w:rFonts w:ascii="Times New Roman" w:hAnsi="Times New Roman" w:eastAsia="仿宋_GB2312" w:cs="Times New Roman"/>
          <w:color w:val="000000"/>
          <w:kern w:val="0"/>
          <w:sz w:val="20"/>
          <w:szCs w:val="20"/>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color w:val="000000"/>
          <w:kern w:val="0"/>
          <w:sz w:val="20"/>
          <w:szCs w:val="20"/>
          <w:highlight w:val="none"/>
        </w:rPr>
        <w:t>　</w:t>
      </w:r>
      <w:r>
        <w:rPr>
          <w:rFonts w:ascii="Times New Roman" w:hAnsi="Times New Roman" w:eastAsia="仿宋_GB2312" w:cs="Times New Roman"/>
          <w:color w:val="000000"/>
          <w:kern w:val="0"/>
          <w:sz w:val="20"/>
          <w:szCs w:val="20"/>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color w:val="000000"/>
          <w:kern w:val="0"/>
          <w:sz w:val="20"/>
          <w:szCs w:val="20"/>
          <w:highlight w:val="none"/>
        </w:rPr>
        <w:t>单位：万元</w:t>
      </w:r>
    </w:p>
    <w:tbl>
      <w:tblPr>
        <w:tblStyle w:val="14"/>
        <w:tblW w:w="4996" w:type="pct"/>
        <w:jc w:val="center"/>
        <w:tblLayout w:type="fixed"/>
        <w:tblCellMar>
          <w:top w:w="0" w:type="dxa"/>
          <w:left w:w="108" w:type="dxa"/>
          <w:bottom w:w="0" w:type="dxa"/>
          <w:right w:w="108" w:type="dxa"/>
        </w:tblCellMar>
      </w:tblPr>
      <w:tblGrid>
        <w:gridCol w:w="1137"/>
        <w:gridCol w:w="2280"/>
        <w:gridCol w:w="1619"/>
        <w:gridCol w:w="1515"/>
        <w:gridCol w:w="1752"/>
        <w:gridCol w:w="1876"/>
        <w:gridCol w:w="1333"/>
        <w:gridCol w:w="2696"/>
      </w:tblGrid>
      <w:tr>
        <w:tblPrEx>
          <w:tblCellMar>
            <w:top w:w="0" w:type="dxa"/>
            <w:left w:w="108" w:type="dxa"/>
            <w:bottom w:w="0" w:type="dxa"/>
            <w:right w:w="108" w:type="dxa"/>
          </w:tblCellMar>
        </w:tblPrEx>
        <w:trPr>
          <w:trHeight w:val="595" w:hRule="atLeast"/>
          <w:jc w:val="center"/>
        </w:trPr>
        <w:tc>
          <w:tcPr>
            <w:tcW w:w="120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项    目</w:t>
            </w:r>
          </w:p>
        </w:tc>
        <w:tc>
          <w:tcPr>
            <w:tcW w:w="5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本年支出合计</w:t>
            </w:r>
          </w:p>
        </w:tc>
        <w:tc>
          <w:tcPr>
            <w:tcW w:w="53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基本支出</w:t>
            </w:r>
          </w:p>
        </w:tc>
        <w:tc>
          <w:tcPr>
            <w:tcW w:w="61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对附属单位补助支出</w:t>
            </w:r>
          </w:p>
        </w:tc>
      </w:tr>
      <w:tr>
        <w:tblPrEx>
          <w:tblCellMar>
            <w:top w:w="0" w:type="dxa"/>
            <w:left w:w="108" w:type="dxa"/>
            <w:bottom w:w="0" w:type="dxa"/>
            <w:right w:w="108" w:type="dxa"/>
          </w:tblCellMar>
        </w:tblPrEx>
        <w:trPr>
          <w:trHeight w:val="312" w:hRule="exact"/>
          <w:jc w:val="center"/>
        </w:trPr>
        <w:tc>
          <w:tcPr>
            <w:tcW w:w="40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功能分类科目编码</w:t>
            </w:r>
          </w:p>
        </w:tc>
        <w:tc>
          <w:tcPr>
            <w:tcW w:w="80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科目名称</w:t>
            </w:r>
          </w:p>
        </w:tc>
        <w:tc>
          <w:tcPr>
            <w:tcW w:w="5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highlight w:val="none"/>
              </w:rPr>
            </w:pPr>
          </w:p>
        </w:tc>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highlight w:val="none"/>
              </w:rPr>
            </w:pPr>
          </w:p>
        </w:tc>
        <w:tc>
          <w:tcPr>
            <w:tcW w:w="6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highlight w:val="none"/>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highlight w:val="none"/>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highlight w:val="none"/>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highlight w:val="none"/>
              </w:rPr>
            </w:pPr>
          </w:p>
        </w:tc>
      </w:tr>
      <w:tr>
        <w:tblPrEx>
          <w:tblCellMar>
            <w:top w:w="0" w:type="dxa"/>
            <w:left w:w="108" w:type="dxa"/>
            <w:bottom w:w="0" w:type="dxa"/>
            <w:right w:w="108" w:type="dxa"/>
          </w:tblCellMar>
        </w:tblPrEx>
        <w:trPr>
          <w:trHeight w:val="504" w:hRule="atLeast"/>
          <w:jc w:val="center"/>
        </w:trPr>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highlight w:val="none"/>
              </w:rPr>
            </w:pPr>
          </w:p>
        </w:tc>
        <w:tc>
          <w:tcPr>
            <w:tcW w:w="80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highlight w:val="none"/>
              </w:rPr>
            </w:pPr>
          </w:p>
        </w:tc>
        <w:tc>
          <w:tcPr>
            <w:tcW w:w="5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highlight w:val="none"/>
              </w:rPr>
            </w:pPr>
          </w:p>
        </w:tc>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highlight w:val="none"/>
              </w:rPr>
            </w:pPr>
          </w:p>
        </w:tc>
        <w:tc>
          <w:tcPr>
            <w:tcW w:w="6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highlight w:val="none"/>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highlight w:val="none"/>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highlight w:val="none"/>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highlight w:val="none"/>
              </w:rPr>
            </w:pPr>
          </w:p>
        </w:tc>
      </w:tr>
      <w:tr>
        <w:tblPrEx>
          <w:tblCellMar>
            <w:top w:w="0" w:type="dxa"/>
            <w:left w:w="108" w:type="dxa"/>
            <w:bottom w:w="0" w:type="dxa"/>
            <w:right w:w="108" w:type="dxa"/>
          </w:tblCellMar>
        </w:tblPrEx>
        <w:trPr>
          <w:trHeight w:val="475" w:hRule="atLeast"/>
          <w:jc w:val="center"/>
        </w:trPr>
        <w:tc>
          <w:tcPr>
            <w:tcW w:w="12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栏次</w:t>
            </w:r>
          </w:p>
        </w:tc>
        <w:tc>
          <w:tcPr>
            <w:tcW w:w="56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1</w:t>
            </w:r>
          </w:p>
        </w:tc>
        <w:tc>
          <w:tcPr>
            <w:tcW w:w="533"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2</w:t>
            </w:r>
          </w:p>
        </w:tc>
        <w:tc>
          <w:tcPr>
            <w:tcW w:w="61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3</w:t>
            </w:r>
          </w:p>
        </w:tc>
        <w:tc>
          <w:tcPr>
            <w:tcW w:w="66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4</w:t>
            </w:r>
          </w:p>
        </w:tc>
        <w:tc>
          <w:tcPr>
            <w:tcW w:w="46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5</w:t>
            </w:r>
          </w:p>
        </w:tc>
        <w:tc>
          <w:tcPr>
            <w:tcW w:w="94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6</w:t>
            </w:r>
          </w:p>
        </w:tc>
      </w:tr>
      <w:tr>
        <w:tblPrEx>
          <w:tblCellMar>
            <w:top w:w="0" w:type="dxa"/>
            <w:left w:w="108" w:type="dxa"/>
            <w:bottom w:w="0" w:type="dxa"/>
            <w:right w:w="108" w:type="dxa"/>
          </w:tblCellMar>
        </w:tblPrEx>
        <w:trPr>
          <w:trHeight w:val="460" w:hRule="atLeast"/>
          <w:jc w:val="center"/>
        </w:trPr>
        <w:tc>
          <w:tcPr>
            <w:tcW w:w="12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合计</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40,633.02</w:t>
            </w:r>
          </w:p>
        </w:tc>
        <w:tc>
          <w:tcPr>
            <w:tcW w:w="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19,786.82</w:t>
            </w:r>
          </w:p>
        </w:tc>
        <w:tc>
          <w:tcPr>
            <w:tcW w:w="6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20,846.19</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95" w:hRule="atLeast"/>
          <w:jc w:val="center"/>
        </w:trPr>
        <w:tc>
          <w:tcPr>
            <w:tcW w:w="4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2060799</w:t>
            </w:r>
          </w:p>
        </w:tc>
        <w:tc>
          <w:tcPr>
            <w:tcW w:w="80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其他科学技术普及支出</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9.81</w:t>
            </w:r>
          </w:p>
        </w:tc>
        <w:tc>
          <w:tcPr>
            <w:tcW w:w="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6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9.81</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95" w:hRule="atLeast"/>
          <w:jc w:val="center"/>
        </w:trPr>
        <w:tc>
          <w:tcPr>
            <w:tcW w:w="4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2080502</w:t>
            </w:r>
          </w:p>
        </w:tc>
        <w:tc>
          <w:tcPr>
            <w:tcW w:w="80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事业单位离退休</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136.51</w:t>
            </w:r>
          </w:p>
        </w:tc>
        <w:tc>
          <w:tcPr>
            <w:tcW w:w="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136.51</w:t>
            </w:r>
          </w:p>
        </w:tc>
        <w:tc>
          <w:tcPr>
            <w:tcW w:w="6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95" w:hRule="atLeast"/>
          <w:jc w:val="center"/>
        </w:trPr>
        <w:tc>
          <w:tcPr>
            <w:tcW w:w="4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80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1,715.20</w:t>
            </w:r>
          </w:p>
        </w:tc>
        <w:tc>
          <w:tcPr>
            <w:tcW w:w="53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1,715.20</w:t>
            </w:r>
          </w:p>
        </w:tc>
        <w:tc>
          <w:tcPr>
            <w:tcW w:w="6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95" w:hRule="atLeast"/>
          <w:jc w:val="center"/>
        </w:trPr>
        <w:tc>
          <w:tcPr>
            <w:tcW w:w="4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2080506</w:t>
            </w:r>
          </w:p>
        </w:tc>
        <w:tc>
          <w:tcPr>
            <w:tcW w:w="80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机关事业单位职业年金缴费支出</w:t>
            </w: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833.91</w:t>
            </w: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833.91</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95" w:hRule="atLeast"/>
          <w:jc w:val="center"/>
        </w:trPr>
        <w:tc>
          <w:tcPr>
            <w:tcW w:w="4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2089999</w:t>
            </w:r>
          </w:p>
        </w:tc>
        <w:tc>
          <w:tcPr>
            <w:tcW w:w="80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其他社会保障和就业支出</w:t>
            </w: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1,348.75</w:t>
            </w: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1,348.75</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95" w:hRule="atLeast"/>
          <w:jc w:val="center"/>
        </w:trPr>
        <w:tc>
          <w:tcPr>
            <w:tcW w:w="4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2100201</w:t>
            </w:r>
          </w:p>
        </w:tc>
        <w:tc>
          <w:tcPr>
            <w:tcW w:w="80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综合医院</w:t>
            </w: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34,836.81</w:t>
            </w: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14,682.75</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20,154.06</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95" w:hRule="atLeast"/>
          <w:jc w:val="center"/>
        </w:trPr>
        <w:tc>
          <w:tcPr>
            <w:tcW w:w="4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2100299</w:t>
            </w:r>
          </w:p>
        </w:tc>
        <w:tc>
          <w:tcPr>
            <w:tcW w:w="80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其他公立医院支出</w:t>
            </w: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110.30</w:t>
            </w: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110.30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95" w:hRule="atLeast"/>
          <w:jc w:val="center"/>
        </w:trPr>
        <w:tc>
          <w:tcPr>
            <w:tcW w:w="4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2100409</w:t>
            </w:r>
          </w:p>
        </w:tc>
        <w:tc>
          <w:tcPr>
            <w:tcW w:w="80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重大公共卫生服务</w:t>
            </w: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95" w:hRule="atLeast"/>
          <w:jc w:val="center"/>
        </w:trPr>
        <w:tc>
          <w:tcPr>
            <w:tcW w:w="4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2100499</w:t>
            </w:r>
          </w:p>
        </w:tc>
        <w:tc>
          <w:tcPr>
            <w:tcW w:w="80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其他公共卫生支出</w:t>
            </w: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201.02</w:t>
            </w: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201.02</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95" w:hRule="atLeast"/>
          <w:jc w:val="center"/>
        </w:trPr>
        <w:tc>
          <w:tcPr>
            <w:tcW w:w="4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2109999</w:t>
            </w:r>
          </w:p>
        </w:tc>
        <w:tc>
          <w:tcPr>
            <w:tcW w:w="80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其他卫生健康支出</w:t>
            </w: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362.00</w:t>
            </w: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362.00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95" w:hRule="atLeast"/>
          <w:jc w:val="center"/>
        </w:trPr>
        <w:tc>
          <w:tcPr>
            <w:tcW w:w="4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80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5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1,069.72</w:t>
            </w: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1,069.72</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bl>
    <w:p>
      <w:pPr>
        <w:widowControl/>
        <w:spacing w:before="120"/>
        <w:jc w:val="left"/>
        <w:rPr>
          <w:rFonts w:ascii="Times New Roman" w:hAnsi="Times New Roman" w:eastAsia="方正小标宋_GBK" w:cs="Times New Roman"/>
          <w:color w:val="000000"/>
          <w:kern w:val="0"/>
          <w:sz w:val="36"/>
          <w:szCs w:val="21"/>
          <w:highlight w:val="none"/>
        </w:rPr>
      </w:pPr>
      <w:r>
        <w:rPr>
          <w:rFonts w:ascii="Times New Roman" w:hAnsi="Times New Roman" w:eastAsia="仿宋_GB2312" w:cs="Times New Roman"/>
          <w:kern w:val="0"/>
          <w:sz w:val="24"/>
          <w:szCs w:val="24"/>
          <w:highlight w:val="none"/>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highlight w:val="none"/>
        </w:rPr>
      </w:pPr>
      <w:bookmarkStart w:id="0" w:name="RANGE!A1:I22"/>
      <w:bookmarkEnd w:id="0"/>
      <w:bookmarkStart w:id="1" w:name="RANGE!A1:F16"/>
      <w:r>
        <w:rPr>
          <w:rFonts w:ascii="Times New Roman" w:hAnsi="Times New Roman" w:eastAsia="黑体" w:cs="Times New Roman"/>
          <w:kern w:val="0"/>
          <w:sz w:val="24"/>
          <w:szCs w:val="24"/>
          <w:highlight w:val="none"/>
        </w:rPr>
        <w:tab/>
      </w:r>
      <w:r>
        <w:rPr>
          <w:rFonts w:ascii="Times New Roman" w:hAnsi="Times New Roman" w:eastAsia="宋体" w:cs="Times New Roman"/>
          <w:kern w:val="0"/>
          <w:sz w:val="24"/>
          <w:szCs w:val="24"/>
          <w:highlight w:val="none"/>
        </w:rPr>
        <w:tab/>
      </w:r>
      <w:r>
        <w:rPr>
          <w:rFonts w:ascii="Times New Roman" w:hAnsi="Times New Roman" w:eastAsia="宋体" w:cs="Times New Roman"/>
          <w:kern w:val="0"/>
          <w:sz w:val="24"/>
          <w:szCs w:val="24"/>
          <w:highlight w:val="none"/>
        </w:rPr>
        <w:tab/>
      </w:r>
      <w:r>
        <w:rPr>
          <w:rFonts w:ascii="Times New Roman" w:hAnsi="Times New Roman" w:eastAsia="宋体" w:cs="Times New Roman"/>
          <w:kern w:val="0"/>
          <w:sz w:val="24"/>
          <w:szCs w:val="24"/>
          <w:highlight w:val="none"/>
        </w:rPr>
        <w:tab/>
      </w:r>
      <w:r>
        <w:rPr>
          <w:rFonts w:ascii="Times New Roman" w:hAnsi="Times New Roman" w:eastAsia="宋体" w:cs="Times New Roman"/>
          <w:kern w:val="0"/>
          <w:sz w:val="24"/>
          <w:szCs w:val="24"/>
          <w:highlight w:val="none"/>
        </w:rPr>
        <w:tab/>
      </w:r>
      <w:r>
        <w:rPr>
          <w:rFonts w:ascii="Times New Roman" w:hAnsi="Times New Roman" w:eastAsia="宋体" w:cs="Times New Roman"/>
          <w:kern w:val="0"/>
          <w:sz w:val="24"/>
          <w:szCs w:val="24"/>
          <w:highlight w:val="none"/>
        </w:rPr>
        <w:tab/>
      </w:r>
    </w:p>
    <w:p>
      <w:pPr>
        <w:widowControl/>
        <w:spacing w:line="400" w:lineRule="exact"/>
        <w:jc w:val="center"/>
        <w:textAlignment w:val="center"/>
        <w:rPr>
          <w:rFonts w:ascii="Times New Roman" w:hAnsi="Times New Roman" w:eastAsia="黑体" w:cs="Times New Roman"/>
          <w:color w:val="000000"/>
          <w:kern w:val="0"/>
          <w:sz w:val="32"/>
          <w:szCs w:val="32"/>
          <w:highlight w:val="none"/>
          <w:lang w:bidi="ar"/>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r>
        <w:rPr>
          <w:rFonts w:ascii="Times New Roman" w:hAnsi="Times New Roman" w:eastAsia="黑体" w:cs="Times New Roman"/>
          <w:color w:val="000000"/>
          <w:kern w:val="0"/>
          <w:sz w:val="36"/>
          <w:szCs w:val="36"/>
          <w:highlight w:val="none"/>
          <w:lang w:bidi="ar"/>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 xml:space="preserve">                                                                                                                  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highlight w:val="none"/>
        </w:rPr>
      </w:pPr>
      <w:r>
        <w:rPr>
          <w:rFonts w:ascii="Times New Roman" w:hAnsi="Times New Roman" w:eastAsia="仿宋_GB2312" w:cs="Times New Roman"/>
          <w:color w:val="000000"/>
          <w:kern w:val="0"/>
          <w:sz w:val="20"/>
          <w:szCs w:val="20"/>
          <w:highlight w:val="none"/>
        </w:rPr>
        <w:t>部门：</w:t>
      </w:r>
      <w:r>
        <w:rPr>
          <w:rFonts w:hint="eastAsia" w:ascii="Times New Roman" w:hAnsi="Times New Roman" w:eastAsia="仿宋_GB2312" w:cs="Times New Roman"/>
          <w:color w:val="000000"/>
          <w:kern w:val="0"/>
          <w:sz w:val="20"/>
          <w:szCs w:val="20"/>
          <w:highlight w:val="none"/>
        </w:rPr>
        <w:t>邵阳学院附属第二医院</w:t>
      </w:r>
      <w:r>
        <w:rPr>
          <w:rFonts w:ascii="Times New Roman" w:hAnsi="Times New Roman" w:eastAsia="仿宋_GB2312" w:cs="Times New Roman"/>
          <w:color w:val="000000"/>
          <w:kern w:val="0"/>
          <w:sz w:val="20"/>
          <w:szCs w:val="20"/>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kern w:val="0"/>
          <w:sz w:val="24"/>
          <w:szCs w:val="24"/>
          <w:highlight w:val="none"/>
        </w:rPr>
        <w:tab/>
      </w:r>
      <w:r>
        <w:rPr>
          <w:rFonts w:ascii="Times New Roman" w:hAnsi="Times New Roman" w:eastAsia="仿宋_GB2312" w:cs="Times New Roman"/>
          <w:kern w:val="0"/>
          <w:sz w:val="24"/>
          <w:szCs w:val="24"/>
          <w:highlight w:val="none"/>
        </w:rPr>
        <w:t>　</w:t>
      </w:r>
      <w:r>
        <w:rPr>
          <w:rFonts w:ascii="Times New Roman" w:hAnsi="Times New Roman" w:eastAsia="仿宋_GB2312" w:cs="Times New Roman"/>
          <w:color w:val="000000"/>
          <w:kern w:val="0"/>
          <w:sz w:val="20"/>
          <w:szCs w:val="20"/>
          <w:highlight w:val="none"/>
        </w:rPr>
        <w:t>单位：万元</w:t>
      </w:r>
    </w:p>
    <w:tbl>
      <w:tblPr>
        <w:tblStyle w:val="14"/>
        <w:tblW w:w="0" w:type="auto"/>
        <w:jc w:val="center"/>
        <w:tblLayout w:type="fixed"/>
        <w:tblCellMar>
          <w:top w:w="0" w:type="dxa"/>
          <w:left w:w="108" w:type="dxa"/>
          <w:bottom w:w="0" w:type="dxa"/>
          <w:right w:w="108" w:type="dxa"/>
        </w:tblCellMar>
      </w:tblPr>
      <w:tblGrid>
        <w:gridCol w:w="3166"/>
        <w:gridCol w:w="966"/>
        <w:gridCol w:w="1096"/>
        <w:gridCol w:w="2636"/>
        <w:gridCol w:w="616"/>
        <w:gridCol w:w="1107"/>
        <w:gridCol w:w="1148"/>
        <w:gridCol w:w="1681"/>
        <w:gridCol w:w="1535"/>
      </w:tblGrid>
      <w:tr>
        <w:tblPrEx>
          <w:tblCellMar>
            <w:top w:w="0" w:type="dxa"/>
            <w:left w:w="108" w:type="dxa"/>
            <w:bottom w:w="0" w:type="dxa"/>
            <w:right w:w="108" w:type="dxa"/>
          </w:tblCellMar>
        </w:tblPrEx>
        <w:trPr>
          <w:trHeight w:val="402" w:hRule="atLeast"/>
          <w:jc w:val="center"/>
        </w:trPr>
        <w:tc>
          <w:tcPr>
            <w:tcW w:w="522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收入</w:t>
            </w:r>
          </w:p>
        </w:tc>
        <w:tc>
          <w:tcPr>
            <w:tcW w:w="8723"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支出</w:t>
            </w:r>
          </w:p>
        </w:tc>
      </w:tr>
      <w:tr>
        <w:tblPrEx>
          <w:tblCellMar>
            <w:top w:w="0" w:type="dxa"/>
            <w:left w:w="108" w:type="dxa"/>
            <w:bottom w:w="0" w:type="dxa"/>
            <w:right w:w="108" w:type="dxa"/>
          </w:tblCellMar>
        </w:tblPrEx>
        <w:trPr>
          <w:trHeight w:val="630"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项    目</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highlight w:val="none"/>
              </w:rPr>
            </w:pPr>
            <w:r>
              <w:rPr>
                <w:rFonts w:ascii="Times New Roman" w:hAnsi="Times New Roman" w:eastAsia="仿宋_GB2312" w:cs="Times New Roman"/>
                <w:kern w:val="0"/>
                <w:sz w:val="20"/>
                <w:szCs w:val="20"/>
                <w:highlight w:val="none"/>
              </w:rPr>
              <w:t>行次</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金额</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项    目</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highlight w:val="none"/>
              </w:rPr>
            </w:pPr>
            <w:r>
              <w:rPr>
                <w:rFonts w:ascii="Times New Roman" w:hAnsi="Times New Roman" w:eastAsia="仿宋_GB2312" w:cs="Times New Roman"/>
                <w:kern w:val="0"/>
                <w:sz w:val="20"/>
                <w:szCs w:val="20"/>
                <w:highlight w:val="none"/>
              </w:rPr>
              <w:t>行次</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合计</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一般公共预算财政拨款</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政府性基金预算财政拨款</w:t>
            </w:r>
          </w:p>
        </w:tc>
        <w:tc>
          <w:tcPr>
            <w:tcW w:w="15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国有资本经营预算财政拨款</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栏    次</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1</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栏    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2</w:t>
            </w:r>
          </w:p>
        </w:tc>
        <w:tc>
          <w:tcPr>
            <w:tcW w:w="114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3</w:t>
            </w:r>
          </w:p>
        </w:tc>
        <w:tc>
          <w:tcPr>
            <w:tcW w:w="168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4</w:t>
            </w:r>
          </w:p>
        </w:tc>
        <w:tc>
          <w:tcPr>
            <w:tcW w:w="15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5</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2,436.05</w:t>
            </w: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9.81</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9.81</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2,227.47</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2,227.47</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highlight w:val="none"/>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b/>
                <w:bCs/>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2,436.05</w:t>
            </w: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b/>
                <w:bCs/>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2,237.28</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2,237.28</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bCs/>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年初财政拨款结转和结余</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232.22</w:t>
            </w: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430.99</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430.99</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一般公共预算财政拨款</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232.22</w:t>
            </w:r>
          </w:p>
        </w:tc>
        <w:tc>
          <w:tcPr>
            <w:tcW w:w="2636"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政府性基金预算财政拨款</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2636"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国有资本经营预算财政拨款</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2636"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highlight w:val="none"/>
              </w:rPr>
            </w:pP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16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Times New Roman" w:hAnsi="Times New Roman" w:eastAsia="仿宋_GB2312" w:cs="Times New Roman"/>
                <w:b/>
                <w:bCs/>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9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2,668.27</w:t>
            </w:r>
          </w:p>
        </w:tc>
        <w:tc>
          <w:tcPr>
            <w:tcW w:w="26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Times New Roman" w:hAnsi="Times New Roman" w:eastAsia="仿宋_GB2312" w:cs="Times New Roman"/>
                <w:b/>
                <w:bCs/>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61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10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2,668.27</w:t>
            </w:r>
          </w:p>
        </w:tc>
        <w:tc>
          <w:tcPr>
            <w:tcW w:w="11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Times New Roman" w:hAnsi="Times New Roman" w:eastAsia="仿宋_GB2312" w:cs="Times New Roman"/>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2,668.27</w:t>
            </w:r>
          </w:p>
        </w:tc>
        <w:tc>
          <w:tcPr>
            <w:tcW w:w="16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bCs/>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bCs/>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bl>
    <w:p>
      <w:pPr>
        <w:widowControl/>
        <w:jc w:val="left"/>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注：</w:t>
      </w:r>
      <w:r>
        <w:rPr>
          <w:rFonts w:ascii="Times New Roman" w:hAnsi="Times New Roman" w:eastAsia="仿宋_GB2312" w:cs="Times New Roman"/>
          <w:spacing w:val="-6"/>
          <w:kern w:val="0"/>
          <w:sz w:val="24"/>
          <w:szCs w:val="24"/>
          <w:highlight w:val="none"/>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highlight w:val="none"/>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r>
        <w:rPr>
          <w:rFonts w:ascii="Times New Roman" w:hAnsi="Times New Roman" w:eastAsia="黑体" w:cs="Times New Roman"/>
          <w:color w:val="000000"/>
          <w:kern w:val="0"/>
          <w:sz w:val="36"/>
          <w:szCs w:val="36"/>
          <w:highlight w:val="none"/>
          <w:lang w:bidi="ar"/>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 xml:space="preserve">     部门：</w:t>
      </w:r>
      <w:r>
        <w:rPr>
          <w:rFonts w:hint="eastAsia" w:ascii="Times New Roman" w:hAnsi="Times New Roman" w:eastAsia="仿宋_GB2312" w:cs="Times New Roman"/>
          <w:color w:val="000000"/>
          <w:kern w:val="0"/>
          <w:szCs w:val="21"/>
          <w:highlight w:val="none"/>
        </w:rPr>
        <w:t>邵阳学院附属第二医院</w:t>
      </w:r>
      <w:r>
        <w:rPr>
          <w:rFonts w:ascii="Times New Roman" w:hAnsi="Times New Roman" w:eastAsia="仿宋_GB2312" w:cs="Times New Roman"/>
          <w:color w:val="000000"/>
          <w:kern w:val="0"/>
          <w:szCs w:val="21"/>
          <w:highlight w:val="none"/>
        </w:rPr>
        <w:t xml:space="preserve">                                                                                公开05表</w:t>
      </w:r>
    </w:p>
    <w:p>
      <w:pPr>
        <w:widowControl/>
        <w:jc w:val="left"/>
        <w:rPr>
          <w:rFonts w:ascii="Times New Roman" w:hAnsi="Times New Roman" w:eastAsia="宋体" w:cs="Times New Roman"/>
          <w:color w:val="000000"/>
          <w:kern w:val="0"/>
          <w:sz w:val="20"/>
          <w:szCs w:val="20"/>
          <w:highlight w:val="none"/>
        </w:rPr>
      </w:pPr>
      <w:r>
        <w:rPr>
          <w:rFonts w:ascii="Times New Roman" w:hAnsi="Times New Roman" w:eastAsia="仿宋_GB2312" w:cs="Times New Roman"/>
          <w:color w:val="000000"/>
          <w:kern w:val="0"/>
          <w:szCs w:val="21"/>
          <w:highlight w:val="none"/>
        </w:rPr>
        <w:t xml:space="preserve">                                                                                                               单位：万元</w:t>
      </w:r>
    </w:p>
    <w:tbl>
      <w:tblPr>
        <w:tblStyle w:val="14"/>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 xml:space="preserve">项 </w:t>
            </w:r>
            <w:r>
              <w:rPr>
                <w:rFonts w:ascii="Times New Roman" w:hAnsi="Times New Roman" w:eastAsia="仿宋_GB2312" w:cs="Times New Roman"/>
                <w:b/>
                <w:color w:val="000000"/>
                <w:kern w:val="0"/>
                <w:szCs w:val="21"/>
                <w:highlight w:val="none"/>
              </w:rPr>
              <w:t xml:space="preserve">   </w:t>
            </w:r>
            <w:r>
              <w:rPr>
                <w:rFonts w:ascii="Times New Roman" w:hAnsi="Times New Roman" w:eastAsia="仿宋_GB2312" w:cs="Times New Roman"/>
                <w:b/>
                <w:kern w:val="0"/>
                <w:szCs w:val="21"/>
                <w:highlight w:val="none"/>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i w:val="0"/>
                <w:iCs w:val="0"/>
                <w:color w:val="000000"/>
                <w:kern w:val="0"/>
                <w:sz w:val="22"/>
                <w:szCs w:val="22"/>
                <w:highlight w:val="none"/>
                <w:u w:val="none"/>
                <w:lang w:val="en-US" w:eastAsia="zh-CN" w:bidi="ar"/>
              </w:rPr>
              <w:t>2,237.28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i w:val="0"/>
                <w:iCs w:val="0"/>
                <w:color w:val="000000"/>
                <w:kern w:val="0"/>
                <w:sz w:val="22"/>
                <w:szCs w:val="22"/>
                <w:highlight w:val="none"/>
                <w:u w:val="none"/>
                <w:lang w:val="en-US" w:eastAsia="zh-CN" w:bidi="ar"/>
              </w:rPr>
              <w:t>1,545.15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i w:val="0"/>
                <w:iCs w:val="0"/>
                <w:color w:val="000000"/>
                <w:kern w:val="0"/>
                <w:sz w:val="22"/>
                <w:szCs w:val="22"/>
                <w:highlight w:val="none"/>
                <w:u w:val="none"/>
                <w:lang w:val="en-US" w:eastAsia="zh-CN" w:bidi="ar"/>
              </w:rPr>
              <w:t>692.13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2060799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其他科学技术普及支出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9.81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9.81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2100201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综合医院</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1,545.15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1,545.15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2100299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其他公立医院支出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110.30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110.30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2100409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重大公共卫生服务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2100499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其他公共卫生支出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2109999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其他卫生健康支出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362.00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362.00</w:t>
            </w:r>
          </w:p>
        </w:tc>
      </w:tr>
    </w:tbl>
    <w:p>
      <w:pPr>
        <w:widowControl/>
        <w:spacing w:before="120"/>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注：本表反映部门本年度一般公共预算财政拨款支出情况。</w:t>
      </w:r>
    </w:p>
    <w:p>
      <w:pPr>
        <w:widowControl/>
        <w:jc w:val="left"/>
        <w:rPr>
          <w:rFonts w:ascii="Times New Roman" w:hAnsi="Times New Roman" w:eastAsia="仿宋_GB2312" w:cs="Times New Roman"/>
          <w:bCs/>
          <w:kern w:val="0"/>
          <w:szCs w:val="21"/>
          <w:highlight w:val="none"/>
        </w:rPr>
      </w:pPr>
    </w:p>
    <w:p>
      <w:pPr>
        <w:widowControl/>
        <w:jc w:val="left"/>
        <w:rPr>
          <w:rFonts w:ascii="Times New Roman" w:hAnsi="Times New Roman" w:eastAsia="仿宋_GB2312" w:cs="Times New Roman"/>
          <w:bCs/>
          <w:kern w:val="0"/>
          <w:szCs w:val="21"/>
          <w:highlight w:val="none"/>
        </w:rPr>
      </w:pPr>
      <w:r>
        <w:rPr>
          <w:rFonts w:ascii="Times New Roman" w:hAnsi="Times New Roman" w:eastAsia="仿宋_GB2312" w:cs="Times New Roman"/>
          <w:bCs/>
          <w:kern w:val="0"/>
          <w:szCs w:val="21"/>
          <w:highlight w:val="none"/>
        </w:rPr>
        <w:br w:type="page"/>
      </w:r>
    </w:p>
    <w:p>
      <w:pPr>
        <w:widowControl/>
        <w:spacing w:after="120"/>
        <w:jc w:val="center"/>
        <w:textAlignment w:val="center"/>
        <w:rPr>
          <w:rFonts w:ascii="Times New Roman" w:hAnsi="Times New Roman" w:eastAsia="黑体" w:cs="Times New Roman"/>
          <w:color w:val="000000"/>
          <w:kern w:val="0"/>
          <w:sz w:val="36"/>
          <w:szCs w:val="36"/>
          <w:highlight w:val="none"/>
          <w:lang w:bidi="ar"/>
        </w:rPr>
      </w:pPr>
      <w:bookmarkStart w:id="2" w:name="RANGE!A1:I34"/>
      <w:r>
        <w:rPr>
          <w:rFonts w:ascii="Times New Roman" w:hAnsi="Times New Roman" w:eastAsia="黑体" w:cs="Times New Roman"/>
          <w:color w:val="000000"/>
          <w:kern w:val="0"/>
          <w:sz w:val="36"/>
          <w:szCs w:val="36"/>
          <w:highlight w:val="none"/>
          <w:lang w:bidi="ar"/>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 xml:space="preserve">  部门：</w:t>
      </w:r>
      <w:r>
        <w:rPr>
          <w:rFonts w:hint="eastAsia" w:ascii="Times New Roman" w:hAnsi="Times New Roman" w:eastAsia="仿宋_GB2312" w:cs="Times New Roman"/>
          <w:color w:val="000000"/>
          <w:kern w:val="0"/>
          <w:szCs w:val="21"/>
          <w:highlight w:val="none"/>
        </w:rPr>
        <w:t>邵阳学院附属第二医院</w:t>
      </w:r>
      <w:r>
        <w:rPr>
          <w:rFonts w:ascii="Times New Roman" w:hAnsi="Times New Roman" w:eastAsia="仿宋_GB2312" w:cs="Times New Roman"/>
          <w:color w:val="000000"/>
          <w:kern w:val="0"/>
          <w:szCs w:val="21"/>
          <w:highlight w:val="none"/>
        </w:rPr>
        <w:t xml:space="preserve">                                                                                           公开06表</w:t>
      </w:r>
    </w:p>
    <w:p>
      <w:pPr>
        <w:widowControl/>
        <w:spacing w:line="240" w:lineRule="exact"/>
        <w:jc w:val="right"/>
        <w:rPr>
          <w:rFonts w:ascii="Times New Roman" w:hAnsi="Times New Roman" w:eastAsia="华文中宋" w:cs="Times New Roman"/>
          <w:color w:val="000000"/>
          <w:kern w:val="0"/>
          <w:szCs w:val="32"/>
          <w:highlight w:val="none"/>
        </w:rPr>
      </w:pPr>
      <w:r>
        <w:rPr>
          <w:rFonts w:ascii="Times New Roman" w:hAnsi="Times New Roman" w:eastAsia="仿宋_GB2312" w:cs="Times New Roman"/>
          <w:color w:val="000000"/>
          <w:kern w:val="0"/>
          <w:szCs w:val="21"/>
          <w:highlight w:val="none"/>
        </w:rPr>
        <w:t>单位：万元</w:t>
      </w:r>
    </w:p>
    <w:tbl>
      <w:tblPr>
        <w:tblStyle w:val="14"/>
        <w:tblW w:w="14814" w:type="dxa"/>
        <w:jc w:val="center"/>
        <w:tblLayout w:type="fixed"/>
        <w:tblCellMar>
          <w:top w:w="0" w:type="dxa"/>
          <w:left w:w="108" w:type="dxa"/>
          <w:bottom w:w="0" w:type="dxa"/>
          <w:right w:w="108" w:type="dxa"/>
        </w:tblCellMar>
      </w:tblPr>
      <w:tblGrid>
        <w:gridCol w:w="2016"/>
        <w:gridCol w:w="1864"/>
        <w:gridCol w:w="1155"/>
        <w:gridCol w:w="1230"/>
        <w:gridCol w:w="2340"/>
        <w:gridCol w:w="960"/>
        <w:gridCol w:w="1340"/>
        <w:gridCol w:w="3000"/>
        <w:gridCol w:w="909"/>
      </w:tblGrid>
      <w:tr>
        <w:tblPrEx>
          <w:tblCellMar>
            <w:top w:w="0" w:type="dxa"/>
            <w:left w:w="108" w:type="dxa"/>
            <w:bottom w:w="0" w:type="dxa"/>
            <w:right w:w="108" w:type="dxa"/>
          </w:tblCellMar>
        </w:tblPrEx>
        <w:trPr>
          <w:trHeight w:val="515" w:hRule="atLeast"/>
          <w:jc w:val="center"/>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highlight w:val="none"/>
              </w:rPr>
            </w:pPr>
            <w:r>
              <w:rPr>
                <w:rFonts w:ascii="Times New Roman" w:hAnsi="Times New Roman" w:eastAsia="仿宋_GB2312" w:cs="Times New Roman"/>
                <w:b/>
                <w:bCs/>
                <w:color w:val="000000"/>
                <w:kern w:val="0"/>
                <w:sz w:val="20"/>
                <w:szCs w:val="20"/>
                <w:highlight w:val="none"/>
              </w:rPr>
              <w:t>经济分类科目编码</w:t>
            </w:r>
          </w:p>
        </w:tc>
        <w:tc>
          <w:tcPr>
            <w:tcW w:w="186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highlight w:val="none"/>
              </w:rPr>
            </w:pPr>
            <w:r>
              <w:rPr>
                <w:rFonts w:ascii="Times New Roman" w:hAnsi="Times New Roman" w:eastAsia="仿宋_GB2312" w:cs="Times New Roman"/>
                <w:b/>
                <w:bCs/>
                <w:color w:val="000000"/>
                <w:kern w:val="0"/>
                <w:szCs w:val="20"/>
                <w:highlight w:val="none"/>
              </w:rPr>
              <w:t>科目名称</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highlight w:val="none"/>
              </w:rPr>
            </w:pPr>
            <w:r>
              <w:rPr>
                <w:rFonts w:ascii="Times New Roman" w:hAnsi="Times New Roman" w:eastAsia="仿宋_GB2312" w:cs="Times New Roman"/>
                <w:b/>
                <w:bCs/>
                <w:color w:val="000000"/>
                <w:kern w:val="0"/>
                <w:szCs w:val="20"/>
                <w:highlight w:val="none"/>
              </w:rPr>
              <w:t>决算数</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highlight w:val="none"/>
              </w:rPr>
            </w:pPr>
            <w:r>
              <w:rPr>
                <w:rFonts w:ascii="Times New Roman" w:hAnsi="Times New Roman" w:eastAsia="仿宋_GB2312" w:cs="Times New Roman"/>
                <w:b/>
                <w:bCs/>
                <w:color w:val="000000"/>
                <w:kern w:val="0"/>
                <w:szCs w:val="20"/>
                <w:highlight w:val="none"/>
              </w:rPr>
              <w:t>经济分类科目编码</w:t>
            </w:r>
          </w:p>
        </w:tc>
        <w:tc>
          <w:tcPr>
            <w:tcW w:w="23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highlight w:val="none"/>
              </w:rPr>
            </w:pPr>
            <w:r>
              <w:rPr>
                <w:rFonts w:ascii="Times New Roman" w:hAnsi="Times New Roman" w:eastAsia="仿宋_GB2312" w:cs="Times New Roman"/>
                <w:b/>
                <w:bCs/>
                <w:color w:val="000000"/>
                <w:kern w:val="0"/>
                <w:szCs w:val="20"/>
                <w:highlight w:val="none"/>
              </w:rPr>
              <w:t>科目名称</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highlight w:val="none"/>
              </w:rPr>
            </w:pPr>
            <w:r>
              <w:rPr>
                <w:rFonts w:ascii="Times New Roman" w:hAnsi="Times New Roman" w:eastAsia="仿宋_GB2312" w:cs="Times New Roman"/>
                <w:b/>
                <w:bCs/>
                <w:color w:val="000000"/>
                <w:kern w:val="0"/>
                <w:szCs w:val="20"/>
                <w:highlight w:val="none"/>
              </w:rPr>
              <w:t>决算数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highlight w:val="none"/>
              </w:rPr>
            </w:pPr>
            <w:r>
              <w:rPr>
                <w:rFonts w:ascii="Times New Roman" w:hAnsi="Times New Roman" w:eastAsia="仿宋_GB2312" w:cs="Times New Roman"/>
                <w:b/>
                <w:bCs/>
                <w:color w:val="000000"/>
                <w:kern w:val="0"/>
                <w:szCs w:val="20"/>
                <w:highlight w:val="none"/>
              </w:rPr>
              <w:t>经济分类科目编码</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highlight w:val="none"/>
              </w:rPr>
            </w:pPr>
            <w:r>
              <w:rPr>
                <w:rFonts w:ascii="Times New Roman" w:hAnsi="Times New Roman" w:eastAsia="仿宋_GB2312" w:cs="Times New Roman"/>
                <w:b/>
                <w:bCs/>
                <w:color w:val="000000"/>
                <w:kern w:val="0"/>
                <w:szCs w:val="20"/>
                <w:highlight w:val="none"/>
              </w:rPr>
              <w:t>科目名称</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highlight w:val="none"/>
              </w:rPr>
            </w:pPr>
            <w:r>
              <w:rPr>
                <w:rFonts w:ascii="Times New Roman" w:hAnsi="Times New Roman" w:eastAsia="仿宋_GB2312" w:cs="Times New Roman"/>
                <w:b/>
                <w:bCs/>
                <w:color w:val="000000"/>
                <w:kern w:val="0"/>
                <w:szCs w:val="20"/>
                <w:highlight w:val="none"/>
              </w:rPr>
              <w:t>决算数</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工资福利支出</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1,545.15</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商品和服务支出</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307</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债务利息及费用支出</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30101</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基本工资</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506.82</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30201</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办公费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30701</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国内债务付息</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30102</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津贴补贴</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30202</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印刷费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30702</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国外债务付息</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30103</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奖金</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30203</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咨询费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资本性支出</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30106</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伙食补助费</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30204</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手续费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31001</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房屋建筑物购建</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30107</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绩效工资</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1,038.33</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30205</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水费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31002</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办公设备购置</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30108</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30206</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电费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31003</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专用设备购置</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30109</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职业年金缴费</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30207</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邮电费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31005</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基础设施建设</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30110</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职工基本医疗保险缴费</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30208</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取暖费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31006</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大型修缮</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30111</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公务员医疗补助缴费</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30209</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物业管理费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31007</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信息网络及软件购置更新</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30112</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其他社会保障缴费</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30211</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差旅费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31008</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物资储备</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30113</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30212</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因公出国（境）费用</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31009</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土地补偿</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30114</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医疗费</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30213</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维修（护）费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31010</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安置补助</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30199</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其他工资福利支出</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30214</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租赁费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31011</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地上附着物和青苗补偿</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303</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对个人和家庭的补助</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30215</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会议费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31012</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拆迁补偿</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30301</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离休费</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30216</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培训费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31013</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公务用车购置</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30302</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退休费</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30217</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公务接待费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31019</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其他交通工具购置</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30303</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退职（役）费</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30218</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专用材料费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31021</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文物和陈列品购置</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30304</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抚恤金</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30224</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被装购置费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31022</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无形资产购置</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30305</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生活补助</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30225</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专用燃料费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31099</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其他资本性支出</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30306</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救济费</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30226</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劳务费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399</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30307</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医疗费补助</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30227</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委托业务费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39907</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国家赔偿费用支出</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30308</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助学金</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30228</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工会经费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39908</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对民间非营利组织和群众性自治组织补贴</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30309</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奖励金</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30229</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福利费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39909</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经常性赠与</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30310</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个人农业生产补贴</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30231</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公务用车运行维护费</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39910</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资本性赠与</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30311</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代缴社会保险费</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30239</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其他交通费用</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39999</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30399</w:t>
            </w:r>
          </w:p>
        </w:tc>
        <w:tc>
          <w:tcPr>
            <w:tcW w:w="1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其他对个人和家庭的补助</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30240</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税金及附加费用</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highlight w:val="none"/>
              </w:rPr>
            </w:pPr>
            <w:r>
              <w:rPr>
                <w:rFonts w:ascii="Times New Roman" w:hAnsi="Times New Roman" w:eastAsia="仿宋_GB2312" w:cs="Times New Roman"/>
                <w:color w:val="000000"/>
                <w:kern w:val="0"/>
                <w:szCs w:val="18"/>
                <w:highlight w:val="none"/>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highlight w:val="none"/>
              </w:rPr>
            </w:pPr>
            <w:r>
              <w:rPr>
                <w:rFonts w:ascii="Times New Roman" w:hAnsi="Times New Roman" w:eastAsia="仿宋_GB2312" w:cs="Times New Roman"/>
                <w:color w:val="000000"/>
                <w:kern w:val="0"/>
                <w:szCs w:val="18"/>
                <w:highlight w:val="none"/>
              </w:rPr>
              <w:t>　</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　</w:t>
            </w:r>
          </w:p>
        </w:tc>
      </w:tr>
      <w:tr>
        <w:tblPrEx>
          <w:tblCellMar>
            <w:top w:w="0" w:type="dxa"/>
            <w:left w:w="108" w:type="dxa"/>
            <w:bottom w:w="0" w:type="dxa"/>
            <w:right w:w="108" w:type="dxa"/>
          </w:tblCellMar>
        </w:tblPrEx>
        <w:trPr>
          <w:trHeight w:val="255" w:hRule="exact"/>
          <w:jc w:val="center"/>
        </w:trPr>
        <w:tc>
          <w:tcPr>
            <w:tcW w:w="201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color w:val="000000"/>
                <w:kern w:val="0"/>
                <w:szCs w:val="20"/>
                <w:highlight w:val="none"/>
              </w:rPr>
            </w:pPr>
          </w:p>
        </w:tc>
        <w:tc>
          <w:tcPr>
            <w:tcW w:w="1864"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color w:val="000000"/>
                <w:kern w:val="0"/>
                <w:szCs w:val="20"/>
                <w:highlight w:val="none"/>
              </w:rPr>
            </w:pPr>
          </w:p>
        </w:tc>
        <w:tc>
          <w:tcPr>
            <w:tcW w:w="115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highlight w:val="none"/>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30299</w:t>
            </w:r>
          </w:p>
        </w:tc>
        <w:tc>
          <w:tcPr>
            <w:tcW w:w="2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其他商品和服务支出</w:t>
            </w:r>
          </w:p>
        </w:tc>
        <w:tc>
          <w:tcPr>
            <w:tcW w:w="9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highlight w:val="none"/>
              </w:rPr>
            </w:pPr>
            <w:r>
              <w:rPr>
                <w:rFonts w:ascii="Times New Roman" w:hAnsi="Times New Roman" w:eastAsia="仿宋_GB2312" w:cs="Times New Roman"/>
                <w:color w:val="000000"/>
                <w:kern w:val="0"/>
                <w:szCs w:val="18"/>
                <w:highlight w:val="none"/>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highlight w:val="none"/>
              </w:rPr>
            </w:pPr>
            <w:r>
              <w:rPr>
                <w:rFonts w:ascii="Times New Roman" w:hAnsi="Times New Roman" w:eastAsia="仿宋_GB2312" w:cs="Times New Roman"/>
                <w:color w:val="000000"/>
                <w:kern w:val="0"/>
                <w:szCs w:val="18"/>
                <w:highlight w:val="none"/>
              </w:rPr>
              <w:t>　</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　</w:t>
            </w:r>
          </w:p>
        </w:tc>
      </w:tr>
      <w:tr>
        <w:tblPrEx>
          <w:tblCellMar>
            <w:top w:w="0" w:type="dxa"/>
            <w:left w:w="108" w:type="dxa"/>
            <w:bottom w:w="0" w:type="dxa"/>
            <w:right w:w="108" w:type="dxa"/>
          </w:tblCellMar>
        </w:tblPrEx>
        <w:trPr>
          <w:trHeight w:val="255" w:hRule="exact"/>
          <w:jc w:val="center"/>
        </w:trPr>
        <w:tc>
          <w:tcPr>
            <w:tcW w:w="3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人员经费合计</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highlight w:val="none"/>
              </w:rPr>
            </w:pPr>
            <w:r>
              <w:rPr>
                <w:rFonts w:hint="eastAsia" w:ascii="宋体" w:hAnsi="宋体" w:eastAsia="宋体" w:cs="宋体"/>
                <w:i w:val="0"/>
                <w:iCs w:val="0"/>
                <w:color w:val="000000"/>
                <w:kern w:val="0"/>
                <w:sz w:val="22"/>
                <w:szCs w:val="22"/>
                <w:highlight w:val="none"/>
                <w:u w:val="none"/>
                <w:lang w:val="en-US" w:eastAsia="zh-CN" w:bidi="ar"/>
              </w:rPr>
              <w:t>1,545.15</w:t>
            </w:r>
          </w:p>
        </w:tc>
        <w:tc>
          <w:tcPr>
            <w:tcW w:w="887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highlight w:val="none"/>
              </w:rPr>
            </w:pPr>
            <w:r>
              <w:rPr>
                <w:rFonts w:ascii="Times New Roman" w:hAnsi="Times New Roman" w:eastAsia="仿宋_GB2312" w:cs="Times New Roman"/>
                <w:color w:val="000000"/>
                <w:kern w:val="0"/>
                <w:szCs w:val="20"/>
                <w:highlight w:val="none"/>
              </w:rPr>
              <w:t>公用经费合计</w:t>
            </w:r>
          </w:p>
        </w:tc>
        <w:tc>
          <w:tcPr>
            <w:tcW w:w="9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r>
    </w:tbl>
    <w:p>
      <w:pPr>
        <w:widowControl/>
        <w:jc w:val="left"/>
        <w:rPr>
          <w:rFonts w:ascii="Times New Roman" w:hAnsi="Times New Roman" w:eastAsia="仿宋_GB2312" w:cs="Times New Roman"/>
          <w:color w:val="000000"/>
          <w:kern w:val="0"/>
          <w:szCs w:val="24"/>
          <w:highlight w:val="none"/>
        </w:rPr>
      </w:pPr>
      <w:r>
        <w:rPr>
          <w:rFonts w:ascii="Times New Roman" w:hAnsi="Times New Roman" w:eastAsia="仿宋_GB2312" w:cs="Times New Roman"/>
          <w:color w:val="000000"/>
          <w:kern w:val="0"/>
          <w:szCs w:val="24"/>
          <w:highlight w:val="none"/>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highlight w:val="none"/>
          <w:lang w:bidi="ar"/>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r>
        <w:rPr>
          <w:rFonts w:ascii="Times New Roman" w:hAnsi="Times New Roman" w:eastAsia="黑体" w:cs="Times New Roman"/>
          <w:color w:val="000000"/>
          <w:kern w:val="0"/>
          <w:sz w:val="36"/>
          <w:szCs w:val="36"/>
          <w:highlight w:val="none"/>
          <w:lang w:bidi="ar"/>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kern w:val="0"/>
          <w:sz w:val="20"/>
          <w:szCs w:val="20"/>
          <w:highlight w:val="none"/>
          <w:lang w:bidi="ar"/>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lang w:bidi="ar"/>
        </w:rPr>
        <w:t>部门：</w:t>
      </w:r>
      <w:r>
        <w:rPr>
          <w:rFonts w:hint="eastAsia" w:ascii="Times New Roman" w:hAnsi="Times New Roman" w:eastAsia="仿宋_GB2312" w:cs="Times New Roman"/>
          <w:color w:val="000000"/>
          <w:kern w:val="0"/>
          <w:sz w:val="20"/>
          <w:szCs w:val="20"/>
          <w:highlight w:val="none"/>
          <w:lang w:bidi="ar"/>
        </w:rPr>
        <w:t>邵阳学院附属第二医院</w:t>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kern w:val="0"/>
          <w:sz w:val="20"/>
          <w:szCs w:val="20"/>
          <w:highlight w:val="none"/>
          <w:lang w:bidi="ar"/>
        </w:rPr>
        <w:t>单位：万元</w:t>
      </w:r>
    </w:p>
    <w:tbl>
      <w:tblPr>
        <w:tblStyle w:val="14"/>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 xml:space="preserve">项 </w:t>
            </w:r>
            <w:r>
              <w:rPr>
                <w:rStyle w:val="20"/>
                <w:rFonts w:hint="default" w:ascii="Times New Roman" w:hAnsi="Times New Roman" w:eastAsia="仿宋_GB2312" w:cs="Times New Roman"/>
                <w:b/>
                <w:bCs/>
                <w:highlight w:val="none"/>
                <w:lang w:bidi="ar"/>
              </w:rPr>
              <w:t xml:space="preserve">   </w:t>
            </w:r>
            <w:r>
              <w:rPr>
                <w:rStyle w:val="21"/>
                <w:rFonts w:hint="default" w:ascii="Times New Roman" w:hAnsi="Times New Roman" w:eastAsia="仿宋_GB2312" w:cs="Times New Roman"/>
                <w:b/>
                <w:bCs/>
                <w:highlight w:val="none"/>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highlight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highlight w:val="none"/>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highlight w:val="none"/>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highlight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highlight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bl>
    <w:p>
      <w:pPr>
        <w:widowControl/>
        <w:spacing w:before="120"/>
        <w:jc w:val="left"/>
        <w:textAlignment w:val="center"/>
        <w:rPr>
          <w:rFonts w:ascii="Times New Roman" w:hAnsi="Times New Roman" w:eastAsia="仿宋_GB2312" w:cs="Times New Roman"/>
          <w:color w:val="000000"/>
          <w:kern w:val="0"/>
          <w:sz w:val="24"/>
          <w:szCs w:val="24"/>
          <w:highlight w:val="none"/>
          <w:lang w:bidi="ar"/>
        </w:rPr>
      </w:pPr>
      <w:r>
        <w:rPr>
          <w:rFonts w:ascii="Times New Roman" w:hAnsi="Times New Roman" w:eastAsia="仿宋_GB2312" w:cs="Times New Roman"/>
          <w:color w:val="000000"/>
          <w:kern w:val="0"/>
          <w:sz w:val="24"/>
          <w:szCs w:val="24"/>
          <w:highlight w:val="none"/>
          <w:lang w:bidi="ar"/>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highlight w:val="none"/>
          <w:lang w:bidi="ar"/>
        </w:rPr>
      </w:pPr>
    </w:p>
    <w:p>
      <w:pPr>
        <w:widowControl/>
        <w:jc w:val="left"/>
        <w:textAlignment w:val="center"/>
        <w:rPr>
          <w:rFonts w:ascii="Times New Roman" w:hAnsi="Times New Roman" w:eastAsia="仿宋_GB2312" w:cs="Times New Roman"/>
          <w:color w:val="000000"/>
          <w:kern w:val="0"/>
          <w:sz w:val="24"/>
          <w:szCs w:val="24"/>
          <w:highlight w:val="none"/>
          <w:lang w:bidi="ar"/>
        </w:rPr>
      </w:pPr>
      <w:r>
        <w:rPr>
          <w:rFonts w:ascii="Times New Roman" w:hAnsi="Times New Roman" w:eastAsia="仿宋_GB2312" w:cs="Times New Roman"/>
          <w:b/>
          <w:bCs/>
          <w:kern w:val="0"/>
          <w:sz w:val="24"/>
          <w:szCs w:val="24"/>
          <w:highlight w:val="none"/>
          <w:lang w:bidi="ar"/>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highlight w:val="none"/>
        </w:rPr>
      </w:pPr>
    </w:p>
    <w:p>
      <w:pPr>
        <w:widowControl/>
        <w:spacing w:line="400" w:lineRule="exact"/>
        <w:textAlignment w:val="center"/>
        <w:rPr>
          <w:rFonts w:ascii="Times New Roman" w:hAnsi="Times New Roman" w:eastAsia="黑体" w:cs="Times New Roman"/>
          <w:color w:val="000000"/>
          <w:kern w:val="0"/>
          <w:sz w:val="36"/>
          <w:szCs w:val="36"/>
          <w:highlight w:val="none"/>
          <w:lang w:bidi="ar"/>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r>
        <w:rPr>
          <w:rFonts w:ascii="Times New Roman" w:hAnsi="Times New Roman" w:eastAsia="黑体" w:cs="Times New Roman"/>
          <w:color w:val="000000"/>
          <w:kern w:val="0"/>
          <w:sz w:val="36"/>
          <w:szCs w:val="36"/>
          <w:highlight w:val="none"/>
          <w:lang w:bidi="ar"/>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lang w:bidi="ar"/>
        </w:rPr>
        <w:t xml:space="preserve">                                                                                                            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highlight w:val="none"/>
        </w:rPr>
      </w:pPr>
      <w:r>
        <w:rPr>
          <w:rFonts w:ascii="Times New Roman" w:hAnsi="Times New Roman" w:eastAsia="仿宋_GB2312" w:cs="Times New Roman"/>
          <w:color w:val="000000"/>
          <w:kern w:val="0"/>
          <w:sz w:val="20"/>
          <w:szCs w:val="20"/>
          <w:highlight w:val="none"/>
          <w:lang w:bidi="ar"/>
        </w:rPr>
        <w:t>部门：</w:t>
      </w:r>
      <w:r>
        <w:rPr>
          <w:rFonts w:hint="eastAsia" w:ascii="Times New Roman" w:hAnsi="Times New Roman" w:eastAsia="仿宋_GB2312" w:cs="Times New Roman"/>
          <w:color w:val="000000"/>
          <w:kern w:val="0"/>
          <w:sz w:val="20"/>
          <w:szCs w:val="20"/>
          <w:highlight w:val="none"/>
          <w:lang w:bidi="ar"/>
        </w:rPr>
        <w:t>邵阳学院附属第二医院</w:t>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sz w:val="20"/>
          <w:szCs w:val="20"/>
          <w:highlight w:val="none"/>
        </w:rPr>
        <w:tab/>
      </w:r>
      <w:r>
        <w:rPr>
          <w:rFonts w:ascii="Times New Roman" w:hAnsi="Times New Roman" w:eastAsia="仿宋_GB2312" w:cs="Times New Roman"/>
          <w:color w:val="000000"/>
          <w:kern w:val="0"/>
          <w:sz w:val="20"/>
          <w:szCs w:val="20"/>
          <w:highlight w:val="none"/>
          <w:lang w:bidi="ar"/>
        </w:rPr>
        <w:t>单位：万元</w:t>
      </w:r>
    </w:p>
    <w:tbl>
      <w:tblPr>
        <w:tblStyle w:val="14"/>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 xml:space="preserve">项 </w:t>
            </w:r>
            <w:r>
              <w:rPr>
                <w:rFonts w:ascii="Times New Roman" w:hAnsi="Times New Roman" w:eastAsia="仿宋_GB2312" w:cs="Times New Roman"/>
                <w:b/>
                <w:bCs/>
                <w:color w:val="000000"/>
                <w:kern w:val="0"/>
                <w:sz w:val="22"/>
                <w:highlight w:val="none"/>
                <w:lang w:bidi="ar"/>
              </w:rPr>
              <w:t xml:space="preserve">   </w:t>
            </w:r>
            <w:r>
              <w:rPr>
                <w:rStyle w:val="22"/>
                <w:rFonts w:hint="default" w:ascii="Times New Roman" w:hAnsi="Times New Roman" w:eastAsia="仿宋_GB2312" w:cs="Times New Roman"/>
                <w:b/>
                <w:bCs/>
                <w:highlight w:val="none"/>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highlight w:val="none"/>
              </w:rPr>
            </w:pPr>
            <w:r>
              <w:rPr>
                <w:rFonts w:ascii="Times New Roman" w:hAnsi="Times New Roman" w:eastAsia="仿宋_GB2312" w:cs="Times New Roman"/>
                <w:b/>
                <w:bCs/>
                <w:color w:val="000000"/>
                <w:kern w:val="0"/>
                <w:sz w:val="24"/>
                <w:szCs w:val="24"/>
                <w:highlight w:val="none"/>
                <w:lang w:bidi="ar"/>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合计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sz w:val="24"/>
                <w:szCs w:val="24"/>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highlight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highlight w:val="none"/>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highlight w:val="none"/>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highlight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highlight w:val="none"/>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highlight w:val="none"/>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highlight w:val="none"/>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bl>
    <w:p>
      <w:pPr>
        <w:widowControl/>
        <w:spacing w:before="120"/>
        <w:jc w:val="left"/>
        <w:textAlignment w:val="center"/>
        <w:rPr>
          <w:rFonts w:ascii="Times New Roman" w:hAnsi="Times New Roman" w:eastAsia="仿宋_GB2312" w:cs="Times New Roman"/>
          <w:color w:val="000000"/>
          <w:kern w:val="0"/>
          <w:sz w:val="24"/>
          <w:szCs w:val="24"/>
          <w:highlight w:val="none"/>
          <w:lang w:bidi="ar"/>
        </w:rPr>
      </w:pPr>
      <w:r>
        <w:rPr>
          <w:rFonts w:ascii="Times New Roman" w:hAnsi="Times New Roman" w:eastAsia="仿宋_GB2312" w:cs="Times New Roman"/>
          <w:color w:val="000000"/>
          <w:kern w:val="0"/>
          <w:sz w:val="24"/>
          <w:szCs w:val="24"/>
          <w:highlight w:val="none"/>
          <w:lang w:bidi="ar"/>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highlight w:val="none"/>
          <w:lang w:bidi="ar"/>
        </w:rPr>
      </w:pPr>
    </w:p>
    <w:p>
      <w:pPr>
        <w:widowControl/>
        <w:jc w:val="left"/>
        <w:textAlignment w:val="center"/>
        <w:rPr>
          <w:rFonts w:ascii="Times New Roman" w:hAnsi="Times New Roman" w:eastAsia="楷体_GB2312" w:cs="Times New Roman"/>
          <w:color w:val="000000"/>
          <w:kern w:val="0"/>
          <w:sz w:val="24"/>
          <w:szCs w:val="24"/>
          <w:highlight w:val="none"/>
          <w:lang w:bidi="ar"/>
        </w:rPr>
      </w:pPr>
      <w:r>
        <w:rPr>
          <w:rFonts w:ascii="Times New Roman" w:hAnsi="Times New Roman" w:eastAsia="楷体_GB2312" w:cs="Times New Roman"/>
          <w:b/>
          <w:bCs/>
          <w:kern w:val="0"/>
          <w:sz w:val="24"/>
          <w:szCs w:val="24"/>
          <w:highlight w:val="none"/>
          <w:lang w:bidi="ar"/>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highlight w:val="none"/>
        </w:rPr>
      </w:pPr>
    </w:p>
    <w:p>
      <w:pPr>
        <w:pStyle w:val="11"/>
        <w:spacing w:line="400" w:lineRule="exact"/>
        <w:rPr>
          <w:rFonts w:ascii="Times New Roman" w:hAnsi="Times New Roman" w:eastAsia="华文中宋" w:cs="Times New Roman"/>
          <w:color w:val="000000"/>
          <w:kern w:val="0"/>
          <w:sz w:val="32"/>
          <w:szCs w:val="32"/>
          <w:highlight w:val="none"/>
          <w:lang w:bidi="ar"/>
        </w:rPr>
      </w:pPr>
    </w:p>
    <w:p>
      <w:pPr>
        <w:widowControl/>
        <w:spacing w:after="156" w:afterLines="50"/>
        <w:jc w:val="center"/>
        <w:textAlignment w:val="center"/>
        <w:rPr>
          <w:rFonts w:ascii="Times New Roman" w:hAnsi="Times New Roman" w:eastAsia="黑体" w:cs="Times New Roman"/>
          <w:color w:val="000000"/>
          <w:kern w:val="0"/>
          <w:sz w:val="36"/>
          <w:szCs w:val="36"/>
          <w:highlight w:val="none"/>
          <w:lang w:bidi="ar"/>
        </w:rPr>
      </w:pPr>
      <w:r>
        <w:rPr>
          <w:rFonts w:ascii="Times New Roman" w:hAnsi="Times New Roman" w:eastAsia="黑体" w:cs="Times New Roman"/>
          <w:color w:val="000000"/>
          <w:kern w:val="0"/>
          <w:sz w:val="36"/>
          <w:szCs w:val="36"/>
          <w:highlight w:val="none"/>
          <w:lang w:bidi="ar"/>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highlight w:val="none"/>
        </w:rPr>
      </w:pPr>
      <w:r>
        <w:rPr>
          <w:rFonts w:ascii="Times New Roman" w:hAnsi="Times New Roman" w:eastAsia="宋体" w:cs="Times New Roman"/>
          <w:color w:val="000000"/>
          <w:sz w:val="20"/>
          <w:szCs w:val="20"/>
          <w:highlight w:val="none"/>
        </w:rPr>
        <w:tab/>
      </w:r>
      <w:r>
        <w:rPr>
          <w:rFonts w:ascii="Times New Roman" w:hAnsi="Times New Roman" w:eastAsia="宋体" w:cs="Times New Roman"/>
          <w:color w:val="000000"/>
          <w:sz w:val="20"/>
          <w:szCs w:val="20"/>
          <w:highlight w:val="none"/>
        </w:rPr>
        <w:tab/>
      </w:r>
      <w:r>
        <w:rPr>
          <w:rFonts w:ascii="Times New Roman" w:hAnsi="Times New Roman" w:eastAsia="宋体" w:cs="Times New Roman"/>
          <w:color w:val="000000"/>
          <w:sz w:val="20"/>
          <w:szCs w:val="20"/>
          <w:highlight w:val="none"/>
        </w:rPr>
        <w:tab/>
      </w:r>
      <w:r>
        <w:rPr>
          <w:rFonts w:ascii="Times New Roman" w:hAnsi="Times New Roman" w:eastAsia="宋体" w:cs="Times New Roman"/>
          <w:color w:val="000000"/>
          <w:sz w:val="20"/>
          <w:szCs w:val="20"/>
          <w:highlight w:val="none"/>
        </w:rPr>
        <w:tab/>
      </w:r>
      <w:r>
        <w:rPr>
          <w:rFonts w:ascii="Times New Roman" w:hAnsi="Times New Roman" w:eastAsia="宋体" w:cs="Times New Roman"/>
          <w:color w:val="000000"/>
          <w:sz w:val="20"/>
          <w:szCs w:val="20"/>
          <w:highlight w:val="none"/>
        </w:rPr>
        <w:tab/>
      </w:r>
      <w:r>
        <w:rPr>
          <w:rFonts w:ascii="Times New Roman" w:hAnsi="Times New Roman" w:eastAsia="宋体" w:cs="Times New Roman"/>
          <w:color w:val="000000"/>
          <w:sz w:val="20"/>
          <w:szCs w:val="20"/>
          <w:highlight w:val="none"/>
        </w:rPr>
        <w:tab/>
      </w:r>
      <w:r>
        <w:rPr>
          <w:rFonts w:ascii="Times New Roman" w:hAnsi="Times New Roman" w:eastAsia="宋体" w:cs="Times New Roman"/>
          <w:color w:val="000000"/>
          <w:sz w:val="20"/>
          <w:szCs w:val="20"/>
          <w:highlight w:val="none"/>
        </w:rPr>
        <w:tab/>
      </w:r>
      <w:r>
        <w:rPr>
          <w:rFonts w:ascii="Times New Roman" w:hAnsi="Times New Roman" w:eastAsia="宋体" w:cs="Times New Roman"/>
          <w:color w:val="000000"/>
          <w:sz w:val="20"/>
          <w:szCs w:val="20"/>
          <w:highlight w:val="none"/>
        </w:rPr>
        <w:tab/>
      </w:r>
      <w:r>
        <w:rPr>
          <w:rFonts w:ascii="Times New Roman" w:hAnsi="Times New Roman" w:eastAsia="宋体" w:cs="Times New Roman"/>
          <w:color w:val="000000"/>
          <w:sz w:val="20"/>
          <w:szCs w:val="20"/>
          <w:highlight w:val="none"/>
        </w:rPr>
        <w:tab/>
      </w:r>
      <w:r>
        <w:rPr>
          <w:rFonts w:ascii="Times New Roman" w:hAnsi="Times New Roman" w:eastAsia="宋体" w:cs="Times New Roman"/>
          <w:color w:val="000000"/>
          <w:sz w:val="20"/>
          <w:szCs w:val="20"/>
          <w:highlight w:val="none"/>
        </w:rPr>
        <w:tab/>
      </w:r>
      <w:r>
        <w:rPr>
          <w:rFonts w:ascii="Times New Roman" w:hAnsi="Times New Roman" w:eastAsia="楷体_GB2312" w:cs="Times New Roman"/>
          <w:color w:val="000000"/>
          <w:sz w:val="20"/>
          <w:szCs w:val="20"/>
          <w:highlight w:val="none"/>
        </w:rPr>
        <w:tab/>
      </w:r>
      <w:r>
        <w:rPr>
          <w:rFonts w:ascii="Times New Roman" w:hAnsi="Times New Roman" w:eastAsia="楷体_GB2312" w:cs="Times New Roman"/>
          <w:color w:val="000000"/>
          <w:kern w:val="0"/>
          <w:sz w:val="20"/>
          <w:szCs w:val="20"/>
          <w:highlight w:val="none"/>
          <w:lang w:bidi="ar"/>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highlight w:val="none"/>
        </w:rPr>
      </w:pPr>
      <w:r>
        <w:rPr>
          <w:rFonts w:ascii="Times New Roman" w:hAnsi="Times New Roman" w:eastAsia="楷体_GB2312" w:cs="Times New Roman"/>
          <w:color w:val="000000"/>
          <w:kern w:val="0"/>
          <w:sz w:val="20"/>
          <w:szCs w:val="20"/>
          <w:highlight w:val="none"/>
          <w:lang w:bidi="ar"/>
        </w:rPr>
        <w:t>部门：</w:t>
      </w:r>
      <w:r>
        <w:rPr>
          <w:rFonts w:hint="eastAsia" w:ascii="Times New Roman" w:hAnsi="Times New Roman" w:eastAsia="仿宋_GB2312" w:cs="Times New Roman"/>
          <w:color w:val="000000"/>
          <w:kern w:val="0"/>
          <w:sz w:val="20"/>
          <w:szCs w:val="20"/>
          <w:highlight w:val="none"/>
          <w:lang w:bidi="ar"/>
        </w:rPr>
        <w:t>邵阳学院附属第二医院</w:t>
      </w:r>
      <w:r>
        <w:rPr>
          <w:rFonts w:ascii="Times New Roman" w:hAnsi="Times New Roman" w:eastAsia="楷体_GB2312" w:cs="Times New Roman"/>
          <w:color w:val="000000"/>
          <w:sz w:val="20"/>
          <w:szCs w:val="20"/>
          <w:highlight w:val="none"/>
        </w:rPr>
        <w:tab/>
      </w:r>
      <w:r>
        <w:rPr>
          <w:rFonts w:ascii="Times New Roman" w:hAnsi="Times New Roman" w:eastAsia="楷体_GB2312" w:cs="Times New Roman"/>
          <w:color w:val="000000"/>
          <w:sz w:val="20"/>
          <w:szCs w:val="20"/>
          <w:highlight w:val="none"/>
        </w:rPr>
        <w:tab/>
      </w:r>
      <w:r>
        <w:rPr>
          <w:rFonts w:ascii="Times New Roman" w:hAnsi="Times New Roman" w:eastAsia="楷体_GB2312" w:cs="Times New Roman"/>
          <w:color w:val="000000"/>
          <w:sz w:val="20"/>
          <w:szCs w:val="20"/>
          <w:highlight w:val="none"/>
        </w:rPr>
        <w:tab/>
      </w:r>
      <w:r>
        <w:rPr>
          <w:rFonts w:ascii="Times New Roman" w:hAnsi="Times New Roman" w:eastAsia="楷体_GB2312" w:cs="Times New Roman"/>
          <w:color w:val="000000"/>
          <w:sz w:val="20"/>
          <w:szCs w:val="20"/>
          <w:highlight w:val="none"/>
        </w:rPr>
        <w:tab/>
      </w:r>
      <w:r>
        <w:rPr>
          <w:rFonts w:ascii="Times New Roman" w:hAnsi="Times New Roman" w:eastAsia="楷体_GB2312" w:cs="Times New Roman"/>
          <w:color w:val="000000"/>
          <w:sz w:val="20"/>
          <w:szCs w:val="20"/>
          <w:highlight w:val="none"/>
        </w:rPr>
        <w:tab/>
      </w:r>
      <w:r>
        <w:rPr>
          <w:rFonts w:ascii="Times New Roman" w:hAnsi="Times New Roman" w:eastAsia="楷体_GB2312" w:cs="Times New Roman"/>
          <w:color w:val="000000"/>
          <w:sz w:val="20"/>
          <w:szCs w:val="20"/>
          <w:highlight w:val="none"/>
        </w:rPr>
        <w:tab/>
      </w:r>
      <w:r>
        <w:rPr>
          <w:rFonts w:ascii="Times New Roman" w:hAnsi="Times New Roman" w:eastAsia="楷体_GB2312" w:cs="Times New Roman"/>
          <w:color w:val="000000"/>
          <w:sz w:val="20"/>
          <w:szCs w:val="20"/>
          <w:highlight w:val="none"/>
        </w:rPr>
        <w:tab/>
      </w:r>
      <w:r>
        <w:rPr>
          <w:rFonts w:ascii="Times New Roman" w:hAnsi="Times New Roman" w:eastAsia="楷体_GB2312" w:cs="Times New Roman"/>
          <w:color w:val="000000"/>
          <w:sz w:val="20"/>
          <w:szCs w:val="20"/>
          <w:highlight w:val="none"/>
        </w:rPr>
        <w:tab/>
      </w:r>
      <w:r>
        <w:rPr>
          <w:rFonts w:ascii="Times New Roman" w:hAnsi="Times New Roman" w:eastAsia="楷体_GB2312" w:cs="Times New Roman"/>
          <w:color w:val="000000"/>
          <w:sz w:val="20"/>
          <w:szCs w:val="20"/>
          <w:highlight w:val="none"/>
        </w:rPr>
        <w:tab/>
      </w:r>
      <w:r>
        <w:rPr>
          <w:rFonts w:ascii="Times New Roman" w:hAnsi="Times New Roman" w:eastAsia="楷体_GB2312" w:cs="Times New Roman"/>
          <w:color w:val="000000"/>
          <w:kern w:val="0"/>
          <w:sz w:val="20"/>
          <w:szCs w:val="20"/>
          <w:highlight w:val="none"/>
          <w:lang w:bidi="ar"/>
        </w:rPr>
        <w:t>单位：万元</w:t>
      </w:r>
    </w:p>
    <w:tbl>
      <w:tblPr>
        <w:tblStyle w:val="14"/>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highlight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highlight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公务用车</w:t>
            </w:r>
            <w:r>
              <w:rPr>
                <w:rFonts w:ascii="Times New Roman" w:hAnsi="Times New Roman" w:eastAsia="仿宋_GB2312" w:cs="Times New Roman"/>
                <w:b/>
                <w:bCs/>
                <w:color w:val="000000"/>
                <w:kern w:val="0"/>
                <w:sz w:val="22"/>
                <w:highlight w:val="none"/>
                <w:lang w:bidi="ar"/>
              </w:rPr>
              <w:br w:type="textWrapping"/>
            </w:r>
            <w:r>
              <w:rPr>
                <w:rFonts w:ascii="Times New Roman" w:hAnsi="Times New Roman" w:eastAsia="仿宋_GB2312" w:cs="Times New Roman"/>
                <w:b/>
                <w:bCs/>
                <w:color w:val="000000"/>
                <w:kern w:val="0"/>
                <w:sz w:val="22"/>
                <w:highlight w:val="none"/>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公务用车</w:t>
            </w:r>
            <w:r>
              <w:rPr>
                <w:rFonts w:ascii="Times New Roman" w:hAnsi="Times New Roman" w:eastAsia="仿宋_GB2312" w:cs="Times New Roman"/>
                <w:b/>
                <w:bCs/>
                <w:color w:val="000000"/>
                <w:kern w:val="0"/>
                <w:sz w:val="22"/>
                <w:highlight w:val="none"/>
                <w:lang w:bidi="ar"/>
              </w:rPr>
              <w:br w:type="textWrapping"/>
            </w:r>
            <w:r>
              <w:rPr>
                <w:rFonts w:ascii="Times New Roman" w:hAnsi="Times New Roman" w:eastAsia="仿宋_GB2312" w:cs="Times New Roman"/>
                <w:b/>
                <w:bCs/>
                <w:color w:val="000000"/>
                <w:kern w:val="0"/>
                <w:sz w:val="22"/>
                <w:highlight w:val="none"/>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highlight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highlight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公务用车</w:t>
            </w:r>
            <w:r>
              <w:rPr>
                <w:rFonts w:ascii="Times New Roman" w:hAnsi="Times New Roman" w:eastAsia="仿宋_GB2312" w:cs="Times New Roman"/>
                <w:b/>
                <w:bCs/>
                <w:color w:val="000000"/>
                <w:kern w:val="0"/>
                <w:sz w:val="22"/>
                <w:highlight w:val="none"/>
                <w:lang w:bidi="ar"/>
              </w:rPr>
              <w:br w:type="textWrapping"/>
            </w:r>
            <w:r>
              <w:rPr>
                <w:rFonts w:ascii="Times New Roman" w:hAnsi="Times New Roman" w:eastAsia="仿宋_GB2312" w:cs="Times New Roman"/>
                <w:b/>
                <w:bCs/>
                <w:color w:val="000000"/>
                <w:kern w:val="0"/>
                <w:sz w:val="22"/>
                <w:highlight w:val="none"/>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highlight w:val="none"/>
              </w:rPr>
            </w:pPr>
            <w:r>
              <w:rPr>
                <w:rFonts w:ascii="Times New Roman" w:hAnsi="Times New Roman" w:eastAsia="仿宋_GB2312" w:cs="Times New Roman"/>
                <w:b/>
                <w:bCs/>
                <w:color w:val="000000"/>
                <w:kern w:val="0"/>
                <w:sz w:val="22"/>
                <w:highlight w:val="none"/>
                <w:lang w:bidi="ar"/>
              </w:rPr>
              <w:t>公务用车</w:t>
            </w:r>
            <w:r>
              <w:rPr>
                <w:rFonts w:ascii="Times New Roman" w:hAnsi="Times New Roman" w:eastAsia="仿宋_GB2312" w:cs="Times New Roman"/>
                <w:b/>
                <w:bCs/>
                <w:color w:val="000000"/>
                <w:kern w:val="0"/>
                <w:sz w:val="22"/>
                <w:highlight w:val="none"/>
                <w:lang w:bidi="ar"/>
              </w:rPr>
              <w:br w:type="textWrapping"/>
            </w:r>
            <w:r>
              <w:rPr>
                <w:rFonts w:ascii="Times New Roman" w:hAnsi="Times New Roman" w:eastAsia="仿宋_GB2312" w:cs="Times New Roman"/>
                <w:b/>
                <w:bCs/>
                <w:color w:val="000000"/>
                <w:kern w:val="0"/>
                <w:sz w:val="22"/>
                <w:highlight w:val="none"/>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highlight w:val="none"/>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highlight w:val="none"/>
              </w:rPr>
            </w:pPr>
            <w:r>
              <w:rPr>
                <w:rFonts w:ascii="Times New Roman" w:hAnsi="Times New Roman" w:eastAsia="仿宋_GB2312" w:cs="Times New Roman"/>
                <w:color w:val="000000"/>
                <w:kern w:val="0"/>
                <w:sz w:val="22"/>
                <w:highlight w:val="none"/>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highlight w:val="none"/>
              </w:rPr>
            </w:pPr>
            <w:r>
              <w:rPr>
                <w:rFonts w:ascii="Times New Roman" w:hAnsi="Times New Roman" w:eastAsia="仿宋_GB2312" w:cs="Times New Roman"/>
                <w:color w:val="000000"/>
                <w:kern w:val="0"/>
                <w:sz w:val="22"/>
                <w:highlight w:val="none"/>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highlight w:val="none"/>
              </w:rPr>
            </w:pPr>
            <w:r>
              <w:rPr>
                <w:rFonts w:ascii="Times New Roman" w:hAnsi="Times New Roman" w:eastAsia="仿宋_GB2312" w:cs="Times New Roman"/>
                <w:color w:val="000000"/>
                <w:kern w:val="0"/>
                <w:sz w:val="22"/>
                <w:highlight w:val="none"/>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highlight w:val="none"/>
              </w:rPr>
            </w:pPr>
            <w:r>
              <w:rPr>
                <w:rFonts w:ascii="Times New Roman" w:hAnsi="Times New Roman" w:eastAsia="仿宋_GB2312" w:cs="Times New Roman"/>
                <w:color w:val="000000"/>
                <w:kern w:val="0"/>
                <w:sz w:val="22"/>
                <w:highlight w:val="none"/>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highlight w:val="none"/>
              </w:rPr>
            </w:pPr>
            <w:r>
              <w:rPr>
                <w:rFonts w:ascii="Times New Roman" w:hAnsi="Times New Roman" w:eastAsia="仿宋_GB2312" w:cs="Times New Roman"/>
                <w:color w:val="000000"/>
                <w:kern w:val="0"/>
                <w:sz w:val="22"/>
                <w:highlight w:val="none"/>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highlight w:val="none"/>
              </w:rPr>
            </w:pPr>
            <w:r>
              <w:rPr>
                <w:rFonts w:ascii="Times New Roman" w:hAnsi="Times New Roman" w:eastAsia="仿宋_GB2312" w:cs="Times New Roman"/>
                <w:color w:val="000000"/>
                <w:kern w:val="0"/>
                <w:sz w:val="22"/>
                <w:highlight w:val="none"/>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highlight w:val="none"/>
              </w:rPr>
            </w:pPr>
            <w:r>
              <w:rPr>
                <w:rFonts w:ascii="Times New Roman" w:hAnsi="Times New Roman" w:eastAsia="仿宋_GB2312" w:cs="Times New Roman"/>
                <w:color w:val="000000"/>
                <w:kern w:val="0"/>
                <w:sz w:val="22"/>
                <w:highlight w:val="none"/>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highlight w:val="none"/>
              </w:rPr>
            </w:pPr>
            <w:r>
              <w:rPr>
                <w:rFonts w:ascii="Times New Roman" w:hAnsi="Times New Roman" w:eastAsia="仿宋_GB2312" w:cs="Times New Roman"/>
                <w:color w:val="000000"/>
                <w:kern w:val="0"/>
                <w:sz w:val="22"/>
                <w:highlight w:val="none"/>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highlight w:val="none"/>
              </w:rPr>
            </w:pPr>
            <w:r>
              <w:rPr>
                <w:rFonts w:ascii="Times New Roman" w:hAnsi="Times New Roman" w:eastAsia="仿宋_GB2312" w:cs="Times New Roman"/>
                <w:color w:val="000000"/>
                <w:kern w:val="0"/>
                <w:sz w:val="22"/>
                <w:highlight w:val="none"/>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highlight w:val="none"/>
              </w:rPr>
            </w:pPr>
            <w:r>
              <w:rPr>
                <w:rFonts w:ascii="Times New Roman" w:hAnsi="Times New Roman" w:eastAsia="仿宋_GB2312" w:cs="Times New Roman"/>
                <w:color w:val="000000"/>
                <w:kern w:val="0"/>
                <w:sz w:val="22"/>
                <w:highlight w:val="none"/>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highlight w:val="none"/>
              </w:rPr>
            </w:pPr>
            <w:r>
              <w:rPr>
                <w:rFonts w:ascii="Times New Roman" w:hAnsi="Times New Roman" w:eastAsia="仿宋_GB2312" w:cs="Times New Roman"/>
                <w:color w:val="000000"/>
                <w:kern w:val="0"/>
                <w:sz w:val="22"/>
                <w:highlight w:val="none"/>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highlight w:val="none"/>
              </w:rPr>
            </w:pPr>
            <w:r>
              <w:rPr>
                <w:rFonts w:ascii="Times New Roman" w:hAnsi="Times New Roman" w:eastAsia="仿宋_GB2312" w:cs="Times New Roman"/>
                <w:color w:val="000000"/>
                <w:kern w:val="0"/>
                <w:sz w:val="22"/>
                <w:highlight w:val="none"/>
                <w:lang w:bidi="ar"/>
              </w:rPr>
              <w:t>12</w:t>
            </w:r>
          </w:p>
        </w:tc>
      </w:tr>
      <w:tr>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0.00</w:t>
            </w:r>
          </w:p>
        </w:tc>
      </w:tr>
    </w:tbl>
    <w:p>
      <w:pPr>
        <w:widowControl/>
        <w:spacing w:before="120"/>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highlight w:val="none"/>
        </w:rPr>
      </w:pPr>
    </w:p>
    <w:p>
      <w:pPr>
        <w:autoSpaceDE w:val="0"/>
        <w:autoSpaceDN w:val="0"/>
        <w:adjustRightInd w:val="0"/>
        <w:ind w:left="315" w:leftChars="150"/>
        <w:jc w:val="left"/>
        <w:rPr>
          <w:rFonts w:ascii="Times New Roman" w:hAnsi="Times New Roman" w:eastAsia="宋体" w:cs="Times New Roman"/>
          <w:kern w:val="0"/>
          <w:sz w:val="24"/>
          <w:szCs w:val="24"/>
          <w:highlight w:val="none"/>
        </w:rPr>
      </w:pPr>
      <w:r>
        <w:rPr>
          <w:rFonts w:hint="eastAsia" w:ascii="楷体" w:hAnsi="楷体" w:eastAsia="楷体" w:cs="楷体"/>
          <w:b/>
          <w:bCs/>
          <w:color w:val="auto"/>
          <w:kern w:val="0"/>
          <w:sz w:val="24"/>
          <w:szCs w:val="24"/>
          <w:highlight w:val="none"/>
          <w:lang w:eastAsia="zh-CN"/>
        </w:rPr>
        <w:t>说明： 本</w:t>
      </w:r>
      <w:r>
        <w:rPr>
          <w:rFonts w:hint="eastAsia" w:ascii="楷体" w:hAnsi="楷体" w:eastAsia="楷体" w:cs="楷体"/>
          <w:b/>
          <w:bCs/>
          <w:color w:val="auto"/>
          <w:kern w:val="0"/>
          <w:sz w:val="24"/>
          <w:szCs w:val="24"/>
          <w:highlight w:val="none"/>
        </w:rPr>
        <w:t>单位</w:t>
      </w:r>
      <w:r>
        <w:rPr>
          <w:rFonts w:hint="eastAsia" w:ascii="楷体" w:hAnsi="楷体" w:eastAsia="楷体" w:cs="楷体"/>
          <w:b/>
          <w:bCs/>
          <w:color w:val="auto"/>
          <w:kern w:val="0"/>
          <w:sz w:val="24"/>
          <w:szCs w:val="24"/>
          <w:highlight w:val="none"/>
          <w:lang w:eastAsia="zh-CN"/>
        </w:rPr>
        <w:t>没有</w:t>
      </w:r>
      <w:r>
        <w:rPr>
          <w:rFonts w:hint="eastAsia" w:ascii="楷体" w:hAnsi="楷体" w:eastAsia="楷体" w:cs="楷体"/>
          <w:b/>
          <w:bCs/>
          <w:color w:val="auto"/>
          <w:kern w:val="0"/>
          <w:sz w:val="24"/>
          <w:szCs w:val="24"/>
          <w:highlight w:val="none"/>
        </w:rPr>
        <w:t>使用</w:t>
      </w:r>
      <w:r>
        <w:rPr>
          <w:rFonts w:hint="eastAsia" w:ascii="楷体" w:hAnsi="楷体" w:eastAsia="楷体" w:cs="楷体"/>
          <w:b/>
          <w:bCs/>
          <w:color w:val="auto"/>
          <w:kern w:val="0"/>
          <w:sz w:val="24"/>
          <w:szCs w:val="24"/>
          <w:highlight w:val="none"/>
          <w:lang w:eastAsia="zh-CN"/>
        </w:rPr>
        <w:t>一般公共预算财政拨款资金</w:t>
      </w:r>
      <w:r>
        <w:rPr>
          <w:rFonts w:hint="eastAsia" w:ascii="楷体" w:hAnsi="楷体" w:eastAsia="楷体" w:cs="楷体"/>
          <w:b/>
          <w:bCs/>
          <w:color w:val="auto"/>
          <w:kern w:val="0"/>
          <w:sz w:val="24"/>
          <w:szCs w:val="24"/>
          <w:highlight w:val="none"/>
        </w:rPr>
        <w:t>安排的</w:t>
      </w:r>
      <w:r>
        <w:rPr>
          <w:rFonts w:hint="eastAsia" w:ascii="楷体" w:hAnsi="楷体" w:eastAsia="楷体" w:cs="楷体"/>
          <w:b/>
          <w:bCs/>
          <w:color w:val="auto"/>
          <w:kern w:val="0"/>
          <w:sz w:val="24"/>
          <w:szCs w:val="24"/>
          <w:highlight w:val="none"/>
          <w:lang w:eastAsia="zh-CN"/>
        </w:rPr>
        <w:t>“三公”经费预算及决算数</w:t>
      </w:r>
      <w:r>
        <w:rPr>
          <w:rFonts w:hint="eastAsia" w:ascii="楷体" w:hAnsi="楷体" w:eastAsia="楷体" w:cs="楷体"/>
          <w:b/>
          <w:bCs/>
          <w:color w:val="auto"/>
          <w:kern w:val="0"/>
          <w:sz w:val="24"/>
          <w:szCs w:val="24"/>
          <w:highlight w:val="none"/>
        </w:rPr>
        <w:t>，故本表无数据。</w:t>
      </w:r>
    </w:p>
    <w:p>
      <w:pPr>
        <w:autoSpaceDE w:val="0"/>
        <w:autoSpaceDN w:val="0"/>
        <w:adjustRightInd w:val="0"/>
        <w:ind w:left="315" w:leftChars="150"/>
        <w:jc w:val="left"/>
        <w:rPr>
          <w:rFonts w:ascii="Times New Roman" w:hAnsi="Times New Roman" w:eastAsia="宋体" w:cs="Times New Roman"/>
          <w:kern w:val="0"/>
          <w:sz w:val="24"/>
          <w:szCs w:val="24"/>
          <w:highlight w:val="none"/>
        </w:rPr>
      </w:pPr>
    </w:p>
    <w:p>
      <w:pPr>
        <w:autoSpaceDE w:val="0"/>
        <w:autoSpaceDN w:val="0"/>
        <w:adjustRightInd w:val="0"/>
        <w:ind w:left="315" w:leftChars="150"/>
        <w:jc w:val="left"/>
        <w:rPr>
          <w:rFonts w:ascii="Times New Roman" w:hAnsi="Times New Roman" w:eastAsia="宋体" w:cs="Times New Roman"/>
          <w:kern w:val="0"/>
          <w:sz w:val="24"/>
          <w:szCs w:val="24"/>
          <w:highlight w:val="none"/>
        </w:rPr>
      </w:pPr>
    </w:p>
    <w:p>
      <w:pPr>
        <w:autoSpaceDE w:val="0"/>
        <w:autoSpaceDN w:val="0"/>
        <w:adjustRightInd w:val="0"/>
        <w:ind w:left="315" w:leftChars="150"/>
        <w:jc w:val="left"/>
        <w:rPr>
          <w:rFonts w:ascii="Times New Roman" w:hAnsi="Times New Roman" w:eastAsia="宋体" w:cs="Times New Roman"/>
          <w:kern w:val="0"/>
          <w:sz w:val="24"/>
          <w:szCs w:val="24"/>
          <w:highlight w:val="none"/>
        </w:rPr>
      </w:pPr>
    </w:p>
    <w:p>
      <w:pPr>
        <w:widowControl/>
        <w:rPr>
          <w:rFonts w:ascii="Times New Roman" w:hAnsi="Times New Roman" w:cs="Times New Roman"/>
          <w:sz w:val="72"/>
          <w:szCs w:val="72"/>
          <w:highlight w:val="none"/>
        </w:rPr>
        <w:sectPr>
          <w:footerReference r:id="rId5" w:type="default"/>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highlight w:val="none"/>
        </w:rPr>
        <w:br w:type="page"/>
      </w:r>
    </w:p>
    <w:p>
      <w:pPr>
        <w:pStyle w:val="3"/>
        <w:rPr>
          <w:rFonts w:ascii="Times New Roman" w:hAnsi="Times New Roman" w:cs="Times New Roman"/>
          <w:sz w:val="72"/>
          <w:szCs w:val="72"/>
          <w:highlight w:val="none"/>
        </w:rPr>
      </w:pPr>
    </w:p>
    <w:p>
      <w:pPr>
        <w:pStyle w:val="3"/>
        <w:rPr>
          <w:rFonts w:ascii="Times New Roman" w:hAnsi="Times New Roman" w:cs="Times New Roman"/>
          <w:sz w:val="72"/>
          <w:szCs w:val="72"/>
          <w:highlight w:val="none"/>
        </w:rPr>
      </w:pPr>
    </w:p>
    <w:p>
      <w:pPr>
        <w:pStyle w:val="3"/>
        <w:rPr>
          <w:rFonts w:ascii="Times New Roman" w:hAnsi="Times New Roman" w:cs="Times New Roman"/>
          <w:sz w:val="72"/>
          <w:szCs w:val="72"/>
          <w:highlight w:val="none"/>
        </w:rPr>
      </w:pPr>
    </w:p>
    <w:p>
      <w:pPr>
        <w:pStyle w:val="3"/>
        <w:jc w:val="center"/>
        <w:rPr>
          <w:rFonts w:ascii="Times New Roman" w:hAnsi="Times New Roman" w:cs="Times New Roman"/>
          <w:sz w:val="72"/>
          <w:szCs w:val="72"/>
          <w:highlight w:val="none"/>
        </w:rPr>
      </w:pPr>
    </w:p>
    <w:p>
      <w:pPr>
        <w:pStyle w:val="3"/>
        <w:jc w:val="center"/>
        <w:rPr>
          <w:rFonts w:ascii="Times New Roman" w:hAnsi="Times New Roman" w:eastAsia="方正小标宋_GBK" w:cs="Times New Roman"/>
          <w:sz w:val="72"/>
          <w:szCs w:val="72"/>
          <w:highlight w:val="none"/>
        </w:rPr>
      </w:pPr>
    </w:p>
    <w:p>
      <w:pPr>
        <w:pStyle w:val="3"/>
        <w:spacing w:line="360" w:lineRule="auto"/>
        <w:jc w:val="center"/>
        <w:rPr>
          <w:rFonts w:ascii="Times New Roman" w:hAnsi="Times New Roman" w:eastAsia="方正小标宋_GBK" w:cs="Times New Roman"/>
          <w:sz w:val="52"/>
          <w:szCs w:val="52"/>
          <w:highlight w:val="none"/>
        </w:rPr>
      </w:pPr>
      <w:r>
        <w:rPr>
          <w:rFonts w:ascii="Times New Roman" w:hAnsi="Times New Roman" w:eastAsia="方正小标宋_GBK" w:cs="Times New Roman"/>
          <w:sz w:val="52"/>
          <w:szCs w:val="52"/>
          <w:highlight w:val="none"/>
        </w:rPr>
        <w:t>第三部分</w:t>
      </w:r>
    </w:p>
    <w:p>
      <w:pPr>
        <w:pStyle w:val="3"/>
        <w:spacing w:line="360" w:lineRule="auto"/>
        <w:jc w:val="center"/>
        <w:rPr>
          <w:rFonts w:ascii="Times New Roman" w:hAnsi="Times New Roman" w:eastAsia="方正小标宋_GBK" w:cs="Times New Roman"/>
          <w:sz w:val="52"/>
          <w:szCs w:val="52"/>
          <w:highlight w:val="none"/>
        </w:rPr>
      </w:pPr>
      <w:r>
        <w:rPr>
          <w:rFonts w:ascii="Times New Roman" w:hAnsi="Times New Roman" w:eastAsia="方正小标宋_GBK" w:cs="Times New Roman"/>
          <w:sz w:val="52"/>
          <w:szCs w:val="52"/>
          <w:highlight w:val="none"/>
        </w:rPr>
        <w:t>2024年度部门决算情况说明</w:t>
      </w:r>
    </w:p>
    <w:p>
      <w:pPr>
        <w:widowControl/>
        <w:jc w:val="left"/>
        <w:rPr>
          <w:rFonts w:ascii="Times New Roman" w:hAnsi="Times New Roman" w:cs="Times New Roman"/>
          <w:sz w:val="32"/>
          <w:szCs w:val="32"/>
          <w:highlight w:val="none"/>
        </w:rPr>
      </w:pPr>
      <w:r>
        <w:rPr>
          <w:rFonts w:ascii="Times New Roman" w:hAnsi="Times New Roman" w:eastAsia="方正小标宋_GBK" w:cs="Times New Roman"/>
          <w:sz w:val="70"/>
          <w:szCs w:val="70"/>
          <w:highlight w:val="none"/>
        </w:rPr>
        <w:br w:type="page"/>
      </w:r>
    </w:p>
    <w:p>
      <w:pPr>
        <w:pStyle w:val="3"/>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一、收入支出决算总体情况说明</w:t>
      </w:r>
    </w:p>
    <w:p>
      <w:pPr>
        <w:pStyle w:val="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2024年度收、支总计</w:t>
      </w:r>
      <w:r>
        <w:rPr>
          <w:rFonts w:hint="eastAsia" w:ascii="Times New Roman" w:hAnsi="Times New Roman" w:eastAsia="仿宋_GB2312" w:cs="Times New Roman"/>
          <w:sz w:val="32"/>
          <w:szCs w:val="32"/>
          <w:highlight w:val="none"/>
        </w:rPr>
        <w:t>42505.8</w:t>
      </w:r>
      <w:r>
        <w:rPr>
          <w:rFonts w:ascii="Times New Roman" w:hAnsi="Times New Roman" w:eastAsia="仿宋_GB2312" w:cs="Times New Roman"/>
          <w:sz w:val="32"/>
          <w:szCs w:val="32"/>
          <w:highlight w:val="none"/>
        </w:rPr>
        <w:t>万元</w:t>
      </w:r>
      <w:r>
        <w:rPr>
          <w:rFonts w:hint="eastAsia" w:ascii="仿宋_GB2312" w:hAnsi="仿宋_GB2312" w:eastAsia="仿宋_GB2312" w:cs="仿宋_GB2312"/>
          <w:color w:val="auto"/>
          <w:sz w:val="32"/>
          <w:szCs w:val="32"/>
          <w:highlight w:val="none"/>
          <w:lang w:eastAsia="zh-CN"/>
        </w:rPr>
        <w:t>（含年初结转和结余、年末结转和结余）</w:t>
      </w:r>
      <w:r>
        <w:rPr>
          <w:rFonts w:hint="eastAsia" w:ascii="Times New Roman" w:hAnsi="Times New Roman" w:eastAsia="仿宋_GB2312"/>
          <w:color w:val="auto"/>
          <w:sz w:val="32"/>
          <w:szCs w:val="32"/>
          <w:highlight w:val="none"/>
        </w:rPr>
        <w:t>。</w:t>
      </w:r>
      <w:r>
        <w:rPr>
          <w:rFonts w:ascii="Times New Roman" w:hAnsi="Times New Roman" w:eastAsia="仿宋_GB2312" w:cs="Times New Roman"/>
          <w:sz w:val="32"/>
          <w:szCs w:val="32"/>
          <w:highlight w:val="none"/>
        </w:rPr>
        <w:t>与上年相比，减少</w:t>
      </w:r>
      <w:r>
        <w:rPr>
          <w:rFonts w:hint="eastAsia" w:ascii="Times New Roman" w:hAnsi="Times New Roman" w:eastAsia="仿宋_GB2312" w:cs="Times New Roman"/>
          <w:sz w:val="32"/>
          <w:szCs w:val="32"/>
          <w:highlight w:val="none"/>
          <w:lang w:val="en-US" w:eastAsia="zh-CN"/>
        </w:rPr>
        <w:t>1049.22</w:t>
      </w:r>
      <w:r>
        <w:rPr>
          <w:rFonts w:ascii="Times New Roman" w:hAnsi="Times New Roman" w:eastAsia="仿宋_GB2312" w:cs="Times New Roman"/>
          <w:sz w:val="32"/>
          <w:szCs w:val="32"/>
          <w:highlight w:val="none"/>
        </w:rPr>
        <w:t>万元，降低</w:t>
      </w:r>
      <w:r>
        <w:rPr>
          <w:rFonts w:hint="eastAsia" w:ascii="Times New Roman" w:hAnsi="Times New Roman" w:eastAsia="仿宋_GB2312" w:cs="Times New Roman"/>
          <w:sz w:val="32"/>
          <w:szCs w:val="32"/>
          <w:highlight w:val="none"/>
          <w:lang w:val="en-US" w:eastAsia="zh-CN"/>
        </w:rPr>
        <w:t>2.41</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lang w:val="en-US" w:eastAsia="zh-CN"/>
        </w:rPr>
        <w:t>支付的工资福利费用比上年减少。</w:t>
      </w:r>
    </w:p>
    <w:p>
      <w:pPr>
        <w:pStyle w:val="3"/>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二、收入决算情况说明</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2024年度收入合计</w:t>
      </w:r>
      <w:r>
        <w:rPr>
          <w:rFonts w:hint="eastAsia" w:ascii="Times New Roman" w:hAnsi="Times New Roman" w:eastAsia="仿宋_GB2312" w:cs="Times New Roman"/>
          <w:sz w:val="32"/>
          <w:szCs w:val="32"/>
          <w:highlight w:val="none"/>
        </w:rPr>
        <w:t>42188.61</w:t>
      </w:r>
      <w:r>
        <w:rPr>
          <w:rFonts w:ascii="Times New Roman" w:hAnsi="Times New Roman" w:eastAsia="仿宋_GB2312" w:cs="Times New Roman"/>
          <w:sz w:val="32"/>
          <w:szCs w:val="32"/>
          <w:highlight w:val="none"/>
        </w:rPr>
        <w:t>万元，其中：财政拨款收入</w:t>
      </w:r>
      <w:r>
        <w:rPr>
          <w:rFonts w:hint="eastAsia" w:ascii="Times New Roman" w:hAnsi="Times New Roman" w:eastAsia="仿宋_GB2312" w:cs="Times New Roman"/>
          <w:sz w:val="32"/>
          <w:szCs w:val="32"/>
          <w:highlight w:val="none"/>
        </w:rPr>
        <w:t>2436.05</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5.77</w:t>
      </w:r>
      <w:r>
        <w:rPr>
          <w:rFonts w:ascii="Times New Roman" w:hAnsi="Times New Roman" w:eastAsia="仿宋_GB2312" w:cs="Times New Roman"/>
          <w:sz w:val="32"/>
          <w:szCs w:val="32"/>
          <w:highlight w:val="none"/>
        </w:rPr>
        <w:t>%；上级补助收入</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%；事业收入</w:t>
      </w:r>
      <w:r>
        <w:rPr>
          <w:rFonts w:hint="eastAsia" w:ascii="Times New Roman" w:hAnsi="Times New Roman" w:eastAsia="仿宋_GB2312" w:cs="Times New Roman"/>
          <w:sz w:val="32"/>
          <w:szCs w:val="32"/>
          <w:highlight w:val="none"/>
        </w:rPr>
        <w:t>37378.89</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88.60</w:t>
      </w:r>
      <w:r>
        <w:rPr>
          <w:rFonts w:ascii="Times New Roman" w:hAnsi="Times New Roman" w:eastAsia="仿宋_GB2312" w:cs="Times New Roman"/>
          <w:sz w:val="32"/>
          <w:szCs w:val="32"/>
          <w:highlight w:val="none"/>
        </w:rPr>
        <w:t>%；经营收入</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%；附属单位上缴收入</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%；其他收入</w:t>
      </w:r>
      <w:r>
        <w:rPr>
          <w:rFonts w:hint="eastAsia" w:ascii="Times New Roman" w:hAnsi="Times New Roman" w:eastAsia="仿宋_GB2312" w:cs="Times New Roman"/>
          <w:sz w:val="32"/>
          <w:szCs w:val="32"/>
          <w:highlight w:val="none"/>
        </w:rPr>
        <w:t>2373.67</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5.63</w:t>
      </w:r>
      <w:r>
        <w:rPr>
          <w:rFonts w:ascii="Times New Roman" w:hAnsi="Times New Roman" w:eastAsia="仿宋_GB2312" w:cs="Times New Roman"/>
          <w:sz w:val="32"/>
          <w:szCs w:val="32"/>
          <w:highlight w:val="none"/>
        </w:rPr>
        <w:t>%。</w:t>
      </w:r>
    </w:p>
    <w:p>
      <w:pPr>
        <w:pStyle w:val="3"/>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三、支出决算情况说明</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2024年度支出合计</w:t>
      </w:r>
      <w:r>
        <w:rPr>
          <w:rFonts w:hint="eastAsia" w:ascii="Times New Roman" w:hAnsi="Times New Roman" w:eastAsia="仿宋_GB2312" w:cs="Times New Roman"/>
          <w:sz w:val="32"/>
          <w:szCs w:val="32"/>
          <w:highlight w:val="none"/>
        </w:rPr>
        <w:t>40633.02</w:t>
      </w:r>
      <w:r>
        <w:rPr>
          <w:rFonts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rPr>
        <w:t>19786.82</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48.70</w:t>
      </w:r>
      <w:r>
        <w:rPr>
          <w:rFonts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rPr>
        <w:t>20846.19</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51.30</w:t>
      </w:r>
      <w:r>
        <w:rPr>
          <w:rFonts w:ascii="Times New Roman" w:hAnsi="Times New Roman" w:eastAsia="仿宋_GB2312" w:cs="Times New Roman"/>
          <w:sz w:val="32"/>
          <w:szCs w:val="32"/>
          <w:highlight w:val="none"/>
        </w:rPr>
        <w:t>%；上缴上级支出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%；经营支出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%；对附属单位补助支出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w:t>
      </w:r>
    </w:p>
    <w:p>
      <w:pPr>
        <w:pStyle w:val="3"/>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四、财政拨款收入支出决算总体情况说明</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2024年度财政拨款收、支总计</w:t>
      </w:r>
      <w:r>
        <w:rPr>
          <w:rFonts w:hint="eastAsia" w:ascii="Times New Roman" w:hAnsi="Times New Roman" w:eastAsia="仿宋_GB2312" w:cs="Times New Roman"/>
          <w:sz w:val="32"/>
          <w:szCs w:val="32"/>
          <w:highlight w:val="none"/>
        </w:rPr>
        <w:t>2668.27</w:t>
      </w:r>
      <w:r>
        <w:rPr>
          <w:rFonts w:ascii="Times New Roman" w:hAnsi="Times New Roman" w:eastAsia="仿宋_GB2312" w:cs="Times New Roman"/>
          <w:sz w:val="32"/>
          <w:szCs w:val="32"/>
          <w:highlight w:val="none"/>
        </w:rPr>
        <w:t>万元，与上年相比，减少</w:t>
      </w:r>
      <w:r>
        <w:rPr>
          <w:rFonts w:hint="eastAsia" w:ascii="Times New Roman" w:hAnsi="Times New Roman" w:eastAsia="仿宋_GB2312" w:cs="Times New Roman"/>
          <w:sz w:val="32"/>
          <w:szCs w:val="32"/>
          <w:highlight w:val="none"/>
          <w:lang w:val="en-US" w:eastAsia="zh-CN"/>
        </w:rPr>
        <w:t>208.91</w:t>
      </w:r>
      <w:r>
        <w:rPr>
          <w:rFonts w:ascii="Times New Roman" w:hAnsi="Times New Roman" w:eastAsia="仿宋_GB2312" w:cs="Times New Roman"/>
          <w:sz w:val="32"/>
          <w:szCs w:val="32"/>
          <w:highlight w:val="none"/>
        </w:rPr>
        <w:t>万元,降低</w:t>
      </w:r>
      <w:r>
        <w:rPr>
          <w:rFonts w:hint="eastAsia" w:ascii="Times New Roman" w:hAnsi="Times New Roman" w:eastAsia="仿宋_GB2312" w:cs="Times New Roman"/>
          <w:sz w:val="32"/>
          <w:szCs w:val="32"/>
          <w:highlight w:val="none"/>
          <w:lang w:val="en-US" w:eastAsia="zh-CN"/>
        </w:rPr>
        <w:t>7.26</w:t>
      </w:r>
      <w:r>
        <w:rPr>
          <w:rFonts w:ascii="Times New Roman" w:hAnsi="Times New Roman" w:eastAsia="仿宋_GB2312" w:cs="Times New Roman"/>
          <w:sz w:val="32"/>
          <w:szCs w:val="32"/>
          <w:highlight w:val="none"/>
        </w:rPr>
        <w:t>%，主要是因为</w:t>
      </w:r>
      <w:r>
        <w:rPr>
          <w:rFonts w:hint="eastAsia" w:ascii="Times New Roman" w:hAnsi="Times New Roman" w:eastAsia="仿宋_GB2312"/>
          <w:color w:val="auto"/>
          <w:sz w:val="32"/>
          <w:szCs w:val="32"/>
          <w:highlight w:val="none"/>
          <w:lang w:eastAsia="zh-CN"/>
        </w:rPr>
        <w:t>财政项目拨款收支较上年度有所</w:t>
      </w:r>
      <w:r>
        <w:rPr>
          <w:rFonts w:hint="eastAsia" w:ascii="Times New Roman" w:hAnsi="Times New Roman" w:eastAsia="仿宋_GB2312"/>
          <w:color w:val="auto"/>
          <w:sz w:val="32"/>
          <w:szCs w:val="32"/>
          <w:highlight w:val="none"/>
          <w:lang w:val="en-US" w:eastAsia="zh-CN"/>
        </w:rPr>
        <w:t>减少。</w:t>
      </w:r>
    </w:p>
    <w:p>
      <w:pPr>
        <w:pStyle w:val="3"/>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五、一般公共预算财政拨款支出决算情况说明</w:t>
      </w:r>
    </w:p>
    <w:p>
      <w:pPr>
        <w:pStyle w:val="3"/>
        <w:overflowPunct w:val="0"/>
        <w:autoSpaceDE/>
        <w:autoSpaceDN/>
        <w:spacing w:line="600" w:lineRule="exact"/>
        <w:ind w:firstLine="640" w:firstLineChars="200"/>
        <w:jc w:val="both"/>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（一）一般公共预算财政拨款支出决算总体情况</w:t>
      </w:r>
    </w:p>
    <w:p>
      <w:pPr>
        <w:pStyle w:val="3"/>
        <w:overflowPunct w:val="0"/>
        <w:autoSpaceDE/>
        <w:autoSpaceDN/>
        <w:spacing w:line="600" w:lineRule="exact"/>
        <w:ind w:firstLine="640" w:firstLineChars="200"/>
        <w:jc w:val="both"/>
        <w:rPr>
          <w:rFonts w:hint="default" w:ascii="Times New Roman" w:hAnsi="Times New Roman" w:eastAsia="仿宋_GB2312"/>
          <w:color w:val="auto"/>
          <w:sz w:val="32"/>
          <w:szCs w:val="32"/>
          <w:highlight w:val="none"/>
          <w:lang w:val="en-US" w:eastAsia="zh-CN"/>
        </w:rPr>
      </w:pPr>
      <w:r>
        <w:rPr>
          <w:rFonts w:ascii="Times New Roman" w:hAnsi="Times New Roman" w:eastAsia="仿宋_GB2312" w:cs="Times New Roman"/>
          <w:sz w:val="32"/>
          <w:szCs w:val="32"/>
          <w:highlight w:val="none"/>
        </w:rPr>
        <w:t>2024年度财政拨款支出</w:t>
      </w:r>
      <w:r>
        <w:rPr>
          <w:rFonts w:hint="eastAsia" w:ascii="Times New Roman" w:hAnsi="Times New Roman" w:eastAsia="仿宋_GB2312" w:cs="Times New Roman"/>
          <w:sz w:val="32"/>
          <w:szCs w:val="32"/>
          <w:highlight w:val="none"/>
        </w:rPr>
        <w:t>2237.28</w:t>
      </w:r>
      <w:r>
        <w:rPr>
          <w:rFonts w:ascii="Times New Roman" w:hAnsi="Times New Roman" w:eastAsia="仿宋_GB2312" w:cs="Times New Roman"/>
          <w:sz w:val="32"/>
          <w:szCs w:val="32"/>
          <w:highlight w:val="none"/>
        </w:rPr>
        <w:t>万元，占本年支出合计的</w:t>
      </w:r>
      <w:r>
        <w:rPr>
          <w:rFonts w:hint="eastAsia" w:ascii="Times New Roman" w:hAnsi="Times New Roman" w:eastAsia="仿宋_GB2312" w:cs="Times New Roman"/>
          <w:sz w:val="32"/>
          <w:szCs w:val="32"/>
          <w:highlight w:val="none"/>
          <w:lang w:val="en-US" w:eastAsia="zh-CN"/>
        </w:rPr>
        <w:t>5.51</w:t>
      </w:r>
      <w:r>
        <w:rPr>
          <w:rFonts w:ascii="Times New Roman" w:hAnsi="Times New Roman" w:eastAsia="仿宋_GB2312" w:cs="Times New Roman"/>
          <w:sz w:val="32"/>
          <w:szCs w:val="32"/>
          <w:highlight w:val="none"/>
        </w:rPr>
        <w:t>%，与上年相比，财政拨款支出减少</w:t>
      </w:r>
      <w:r>
        <w:rPr>
          <w:rFonts w:hint="eastAsia" w:ascii="Times New Roman" w:hAnsi="Times New Roman" w:eastAsia="仿宋_GB2312" w:cs="Times New Roman"/>
          <w:sz w:val="32"/>
          <w:szCs w:val="32"/>
          <w:highlight w:val="none"/>
          <w:lang w:val="en-US" w:eastAsia="zh-CN"/>
        </w:rPr>
        <w:t>347.46</w:t>
      </w:r>
      <w:r>
        <w:rPr>
          <w:rFonts w:ascii="Times New Roman" w:hAnsi="Times New Roman" w:eastAsia="仿宋_GB2312" w:cs="Times New Roman"/>
          <w:sz w:val="32"/>
          <w:szCs w:val="32"/>
          <w:highlight w:val="none"/>
        </w:rPr>
        <w:t>万元，降低</w:t>
      </w:r>
      <w:r>
        <w:rPr>
          <w:rFonts w:hint="eastAsia" w:ascii="Times New Roman" w:hAnsi="Times New Roman" w:eastAsia="仿宋_GB2312" w:cs="Times New Roman"/>
          <w:sz w:val="32"/>
          <w:szCs w:val="32"/>
          <w:highlight w:val="none"/>
          <w:lang w:val="en-US" w:eastAsia="zh-CN"/>
        </w:rPr>
        <w:t>13.44</w:t>
      </w:r>
      <w:r>
        <w:rPr>
          <w:rFonts w:ascii="Times New Roman" w:hAnsi="Times New Roman" w:eastAsia="仿宋_GB2312" w:cs="Times New Roman"/>
          <w:sz w:val="32"/>
          <w:szCs w:val="32"/>
          <w:highlight w:val="none"/>
        </w:rPr>
        <w:t>%，主要是因为</w:t>
      </w:r>
      <w:r>
        <w:rPr>
          <w:rFonts w:hint="eastAsia" w:ascii="Times New Roman" w:hAnsi="Times New Roman" w:eastAsia="仿宋_GB2312"/>
          <w:color w:val="auto"/>
          <w:sz w:val="32"/>
          <w:szCs w:val="32"/>
          <w:highlight w:val="none"/>
          <w:lang w:eastAsia="zh-CN"/>
        </w:rPr>
        <w:t>医务人员临时性工作补助</w:t>
      </w:r>
      <w:r>
        <w:rPr>
          <w:rFonts w:hint="eastAsia" w:ascii="Times New Roman" w:hAnsi="Times New Roman" w:eastAsia="仿宋_GB2312"/>
          <w:color w:val="auto"/>
          <w:sz w:val="32"/>
          <w:szCs w:val="32"/>
          <w:highlight w:val="none"/>
          <w:lang w:val="en-US" w:eastAsia="zh-CN"/>
        </w:rPr>
        <w:t>支出减少。</w:t>
      </w:r>
    </w:p>
    <w:p>
      <w:pPr>
        <w:pStyle w:val="3"/>
        <w:overflowPunct w:val="0"/>
        <w:autoSpaceDE/>
        <w:autoSpaceDN/>
        <w:spacing w:line="600" w:lineRule="exact"/>
        <w:ind w:firstLine="640" w:firstLineChars="200"/>
        <w:jc w:val="both"/>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（二）一般公共预算财政拨款支出决算结构情况</w:t>
      </w:r>
    </w:p>
    <w:p>
      <w:pPr>
        <w:pStyle w:val="3"/>
        <w:overflowPunct w:val="0"/>
        <w:autoSpaceDE/>
        <w:autoSpaceDN/>
        <w:spacing w:line="600" w:lineRule="exact"/>
        <w:ind w:firstLine="640" w:firstLineChars="200"/>
        <w:jc w:val="both"/>
        <w:rPr>
          <w:rFonts w:hint="eastAsia" w:ascii="Times New Roman" w:hAnsi="Times New Roman" w:eastAsia="仿宋_GB2312"/>
          <w:color w:val="auto"/>
          <w:sz w:val="32"/>
          <w:szCs w:val="32"/>
          <w:highlight w:val="none"/>
          <w:lang w:val="en-US" w:eastAsia="zh-CN"/>
        </w:rPr>
      </w:pPr>
      <w:r>
        <w:rPr>
          <w:rFonts w:ascii="Times New Roman" w:hAnsi="Times New Roman" w:eastAsia="仿宋_GB2312" w:cs="Times New Roman"/>
          <w:sz w:val="32"/>
          <w:szCs w:val="32"/>
          <w:highlight w:val="none"/>
        </w:rPr>
        <w:t>2024年度财政拨款支出</w:t>
      </w:r>
      <w:r>
        <w:rPr>
          <w:rFonts w:hint="eastAsia" w:ascii="Times New Roman" w:hAnsi="Times New Roman" w:eastAsia="仿宋_GB2312" w:cs="Times New Roman"/>
          <w:sz w:val="32"/>
          <w:szCs w:val="32"/>
          <w:highlight w:val="none"/>
        </w:rPr>
        <w:t>2237.28</w:t>
      </w:r>
      <w:r>
        <w:rPr>
          <w:rFonts w:ascii="Times New Roman" w:hAnsi="Times New Roman" w:eastAsia="仿宋_GB2312" w:cs="Times New Roman"/>
          <w:sz w:val="32"/>
          <w:szCs w:val="32"/>
          <w:highlight w:val="none"/>
        </w:rPr>
        <w:t>万元，主要用于以下方面：一般公共服务（类）支出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%；教育（类）支出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w:t>
      </w:r>
      <w:r>
        <w:rPr>
          <w:rFonts w:hint="eastAsia" w:ascii="Times New Roman" w:hAnsi="Times New Roman" w:eastAsia="仿宋_GB2312"/>
          <w:color w:val="auto"/>
          <w:sz w:val="32"/>
          <w:szCs w:val="32"/>
          <w:highlight w:val="none"/>
          <w:lang w:eastAsia="zh-CN"/>
        </w:rPr>
        <w:t>科学</w:t>
      </w:r>
      <w:r>
        <w:rPr>
          <w:rFonts w:hint="eastAsia" w:ascii="Times New Roman" w:hAnsi="Times New Roman" w:eastAsia="仿宋_GB2312"/>
          <w:color w:val="auto"/>
          <w:sz w:val="32"/>
          <w:szCs w:val="32"/>
          <w:highlight w:val="none"/>
          <w:lang w:val="en-US" w:eastAsia="zh-CN"/>
        </w:rPr>
        <w:t>技术（类）支出9.81万元，占0.44%；卫生健康（类）支出2227.47万元，占99.56%。</w:t>
      </w:r>
    </w:p>
    <w:p>
      <w:pPr>
        <w:pStyle w:val="3"/>
        <w:overflowPunct w:val="0"/>
        <w:autoSpaceDE/>
        <w:autoSpaceDN/>
        <w:spacing w:line="600" w:lineRule="exact"/>
        <w:ind w:firstLine="640" w:firstLineChars="200"/>
        <w:jc w:val="both"/>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（三）一般公共预算财政拨款支出决算具体情况</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2024年度财政拨款支出年初预算数为</w:t>
      </w:r>
      <w:r>
        <w:rPr>
          <w:rFonts w:hint="eastAsia" w:ascii="Times New Roman" w:hAnsi="Times New Roman" w:eastAsia="仿宋_GB2312" w:cs="Times New Roman"/>
          <w:sz w:val="32"/>
          <w:szCs w:val="32"/>
          <w:highlight w:val="none"/>
          <w:lang w:val="en-US" w:eastAsia="zh-CN"/>
        </w:rPr>
        <w:t>1891.16</w:t>
      </w:r>
      <w:r>
        <w:rPr>
          <w:rFonts w:ascii="Times New Roman" w:hAnsi="Times New Roman" w:eastAsia="仿宋_GB2312" w:cs="Times New Roman"/>
          <w:sz w:val="32"/>
          <w:szCs w:val="32"/>
          <w:highlight w:val="none"/>
        </w:rPr>
        <w:t>万元，支出决算数为</w:t>
      </w:r>
      <w:r>
        <w:rPr>
          <w:rFonts w:hint="eastAsia" w:ascii="Times New Roman" w:hAnsi="Times New Roman" w:eastAsia="仿宋_GB2312" w:cs="Times New Roman"/>
          <w:sz w:val="32"/>
          <w:szCs w:val="32"/>
          <w:highlight w:val="none"/>
        </w:rPr>
        <w:t>2237</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28</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118.30</w:t>
      </w:r>
      <w:r>
        <w:rPr>
          <w:rFonts w:ascii="Times New Roman" w:hAnsi="Times New Roman" w:eastAsia="仿宋_GB2312" w:cs="Times New Roman"/>
          <w:sz w:val="32"/>
          <w:szCs w:val="32"/>
          <w:highlight w:val="none"/>
        </w:rPr>
        <w:t>%，其中：</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eastAsia" w:ascii="Times New Roman" w:hAnsi="Times New Roman" w:eastAsia="仿宋_GB2312"/>
          <w:color w:val="auto"/>
          <w:sz w:val="32"/>
          <w:szCs w:val="32"/>
          <w:highlight w:val="none"/>
          <w:lang w:eastAsia="zh-CN"/>
        </w:rPr>
        <w:t>科学技术支出</w:t>
      </w:r>
      <w:r>
        <w:rPr>
          <w:rFonts w:hint="eastAsia" w:ascii="Times New Roman" w:hAnsi="Times New Roman" w:eastAsia="仿宋_GB2312"/>
          <w:color w:val="auto"/>
          <w:sz w:val="32"/>
          <w:szCs w:val="32"/>
          <w:highlight w:val="none"/>
        </w:rPr>
        <w:t>（类）</w:t>
      </w:r>
      <w:r>
        <w:rPr>
          <w:rFonts w:hint="eastAsia" w:ascii="Times New Roman" w:hAnsi="Times New Roman" w:eastAsia="仿宋_GB2312"/>
          <w:color w:val="auto"/>
          <w:sz w:val="32"/>
          <w:szCs w:val="32"/>
          <w:highlight w:val="none"/>
          <w:lang w:eastAsia="zh-CN"/>
        </w:rPr>
        <w:t>科学技术普及</w:t>
      </w:r>
      <w:r>
        <w:rPr>
          <w:rFonts w:hint="eastAsia" w:ascii="Times New Roman" w:hAnsi="Times New Roman" w:eastAsia="仿宋_GB2312"/>
          <w:color w:val="auto"/>
          <w:sz w:val="32"/>
          <w:szCs w:val="32"/>
          <w:highlight w:val="none"/>
        </w:rPr>
        <w:t>（款）</w:t>
      </w:r>
      <w:r>
        <w:rPr>
          <w:rFonts w:hint="eastAsia" w:ascii="Times New Roman" w:hAnsi="Times New Roman" w:eastAsia="仿宋_GB2312"/>
          <w:color w:val="auto"/>
          <w:sz w:val="32"/>
          <w:szCs w:val="32"/>
          <w:highlight w:val="none"/>
          <w:lang w:eastAsia="zh-CN"/>
        </w:rPr>
        <w:t>其他科学技术普及支出</w:t>
      </w:r>
      <w:r>
        <w:rPr>
          <w:rFonts w:hint="eastAsia" w:ascii="Times New Roman" w:hAnsi="Times New Roman" w:eastAsia="仿宋_GB2312"/>
          <w:color w:val="auto"/>
          <w:sz w:val="32"/>
          <w:szCs w:val="32"/>
          <w:highlight w:val="none"/>
        </w:rPr>
        <w:t>（项</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s="Times New Roman"/>
          <w:sz w:val="32"/>
          <w:szCs w:val="32"/>
          <w:highlight w:val="none"/>
        </w:rPr>
        <w:t>。</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9.81</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196.20</w:t>
      </w:r>
      <w:r>
        <w:rPr>
          <w:rFonts w:ascii="Times New Roman" w:hAnsi="Times New Roman" w:eastAsia="仿宋_GB2312" w:cs="Times New Roman"/>
          <w:sz w:val="32"/>
          <w:szCs w:val="32"/>
          <w:highlight w:val="none"/>
        </w:rPr>
        <w:t>%，决算数大于年初预算数的主要原因是：</w:t>
      </w:r>
    </w:p>
    <w:p>
      <w:pPr>
        <w:pStyle w:val="3"/>
        <w:overflowPunct w:val="0"/>
        <w:autoSpaceDE/>
        <w:autoSpaceDN/>
        <w:spacing w:line="600" w:lineRule="exact"/>
        <w:ind w:firstLine="640" w:firstLineChars="200"/>
        <w:jc w:val="both"/>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（1）《留置针护理进行曲》——留置针自我护理科普歌曲上年度结转预算资金5万，本年度实际支出4.82万元，余额0.18万元已归集上缴，项目经费完成率为100%。</w:t>
      </w:r>
    </w:p>
    <w:p>
      <w:pPr>
        <w:pStyle w:val="3"/>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年中新增创新型省份建设专项：淘气包的故事——儿童青少年自救科普5万元，本年度实际支出4.99万元，余额0.01万元结转至下年度使用，项目经费完成率为99.83%。</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lang w:eastAsia="zh-CN"/>
        </w:rPr>
        <w:t>卫生健康支出</w:t>
      </w:r>
      <w:r>
        <w:rPr>
          <w:rFonts w:hint="eastAsia" w:ascii="Times New Roman" w:hAnsi="Times New Roman" w:eastAsia="仿宋_GB2312"/>
          <w:color w:val="auto"/>
          <w:sz w:val="32"/>
          <w:szCs w:val="32"/>
          <w:highlight w:val="none"/>
        </w:rPr>
        <w:t>（类）</w:t>
      </w:r>
      <w:r>
        <w:rPr>
          <w:rFonts w:hint="eastAsia" w:ascii="Times New Roman" w:hAnsi="Times New Roman" w:eastAsia="仿宋_GB2312"/>
          <w:color w:val="auto"/>
          <w:sz w:val="32"/>
          <w:szCs w:val="32"/>
          <w:highlight w:val="none"/>
          <w:lang w:eastAsia="zh-CN"/>
        </w:rPr>
        <w:t>公立医院</w:t>
      </w:r>
      <w:r>
        <w:rPr>
          <w:rFonts w:hint="eastAsia" w:ascii="Times New Roman" w:hAnsi="Times New Roman" w:eastAsia="仿宋_GB2312"/>
          <w:color w:val="auto"/>
          <w:sz w:val="32"/>
          <w:szCs w:val="32"/>
          <w:highlight w:val="none"/>
        </w:rPr>
        <w:t>（款）</w:t>
      </w:r>
      <w:r>
        <w:rPr>
          <w:rFonts w:hint="eastAsia" w:ascii="Times New Roman" w:hAnsi="Times New Roman" w:eastAsia="仿宋_GB2312"/>
          <w:color w:val="auto"/>
          <w:sz w:val="32"/>
          <w:szCs w:val="32"/>
          <w:highlight w:val="none"/>
          <w:lang w:eastAsia="zh-CN"/>
        </w:rPr>
        <w:t>综合医院</w:t>
      </w:r>
      <w:r>
        <w:rPr>
          <w:rFonts w:hint="eastAsia" w:ascii="Times New Roman" w:hAnsi="Times New Roman" w:eastAsia="仿宋_GB2312"/>
          <w:color w:val="auto"/>
          <w:sz w:val="32"/>
          <w:szCs w:val="32"/>
          <w:highlight w:val="none"/>
        </w:rPr>
        <w:t>（项）。</w:t>
      </w:r>
    </w:p>
    <w:p>
      <w:pPr>
        <w:pStyle w:val="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1545.15</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1545.15</w:t>
      </w:r>
      <w:r>
        <w:rPr>
          <w:rFonts w:hint="eastAsia" w:ascii="Times New Roman" w:hAnsi="Times New Roman" w:eastAsia="仿宋_GB2312"/>
          <w:color w:val="auto"/>
          <w:sz w:val="32"/>
          <w:szCs w:val="32"/>
          <w:highlight w:val="none"/>
        </w:rPr>
        <w:t>万元，完成年初预算的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val="en-US" w:eastAsia="zh-CN"/>
        </w:rPr>
        <w:t>等于</w:t>
      </w:r>
      <w:r>
        <w:rPr>
          <w:rFonts w:hint="eastAsia" w:ascii="Times New Roman" w:hAnsi="Times New Roman" w:eastAsia="仿宋_GB2312"/>
          <w:color w:val="auto"/>
          <w:sz w:val="32"/>
          <w:szCs w:val="32"/>
          <w:highlight w:val="none"/>
        </w:rPr>
        <w:t>年初预算数：</w:t>
      </w:r>
    </w:p>
    <w:p>
      <w:pPr>
        <w:pStyle w:val="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基本支出</w:t>
      </w: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1545.15</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1545.15</w:t>
      </w:r>
      <w:r>
        <w:rPr>
          <w:rFonts w:hint="eastAsia" w:ascii="Times New Roman" w:hAnsi="Times New Roman" w:eastAsia="仿宋_GB2312"/>
          <w:color w:val="auto"/>
          <w:sz w:val="32"/>
          <w:szCs w:val="32"/>
          <w:highlight w:val="none"/>
        </w:rPr>
        <w:t>万元，完成年初预算的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p>
    <w:p>
      <w:pPr>
        <w:pStyle w:val="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卫生健康支出</w:t>
      </w:r>
      <w:r>
        <w:rPr>
          <w:rFonts w:hint="eastAsia" w:ascii="Times New Roman" w:hAnsi="Times New Roman" w:eastAsia="仿宋_GB2312"/>
          <w:color w:val="auto"/>
          <w:sz w:val="32"/>
          <w:szCs w:val="32"/>
          <w:highlight w:val="none"/>
        </w:rPr>
        <w:t>（类）</w:t>
      </w:r>
      <w:r>
        <w:rPr>
          <w:rFonts w:hint="eastAsia" w:ascii="Times New Roman" w:hAnsi="Times New Roman" w:eastAsia="仿宋_GB2312"/>
          <w:color w:val="auto"/>
          <w:sz w:val="32"/>
          <w:szCs w:val="32"/>
          <w:highlight w:val="none"/>
          <w:lang w:eastAsia="zh-CN"/>
        </w:rPr>
        <w:t>公立医院</w:t>
      </w:r>
      <w:r>
        <w:rPr>
          <w:rFonts w:hint="eastAsia" w:ascii="Times New Roman" w:hAnsi="Times New Roman" w:eastAsia="仿宋_GB2312"/>
          <w:color w:val="auto"/>
          <w:sz w:val="32"/>
          <w:szCs w:val="32"/>
          <w:highlight w:val="none"/>
        </w:rPr>
        <w:t>（款）</w:t>
      </w:r>
      <w:r>
        <w:rPr>
          <w:rFonts w:hint="eastAsia" w:ascii="Times New Roman" w:hAnsi="Times New Roman" w:eastAsia="仿宋_GB2312"/>
          <w:color w:val="auto"/>
          <w:sz w:val="32"/>
          <w:szCs w:val="32"/>
          <w:highlight w:val="none"/>
          <w:lang w:eastAsia="zh-CN"/>
        </w:rPr>
        <w:t>其他公立医院支出</w:t>
      </w:r>
      <w:r>
        <w:rPr>
          <w:rFonts w:hint="eastAsia" w:ascii="Times New Roman" w:hAnsi="Times New Roman" w:eastAsia="仿宋_GB2312"/>
          <w:color w:val="auto"/>
          <w:sz w:val="32"/>
          <w:szCs w:val="32"/>
          <w:highlight w:val="none"/>
        </w:rPr>
        <w:t>（项）。</w:t>
      </w:r>
    </w:p>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55</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110.30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val="en-US" w:eastAsia="zh-CN"/>
        </w:rPr>
        <w:t>完成年初预算的200%，</w:t>
      </w:r>
      <w:r>
        <w:rPr>
          <w:rFonts w:hint="eastAsia" w:ascii="Times New Roman" w:hAnsi="Times New Roman" w:eastAsia="仿宋_GB2312"/>
          <w:color w:val="auto"/>
          <w:sz w:val="32"/>
          <w:szCs w:val="32"/>
          <w:highlight w:val="none"/>
        </w:rPr>
        <w:t>决算数大于年初预算数的主要原因是：</w:t>
      </w:r>
    </w:p>
    <w:p>
      <w:pPr>
        <w:pStyle w:val="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公立医院改革年初预算55万元，年终追加52万元，本年度实际支出107万元，全部执行完毕，项目经费完成率为100%。</w:t>
      </w:r>
    </w:p>
    <w:p>
      <w:pPr>
        <w:pStyle w:val="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年中新增全科转岗拨款1.3万元，本年度实际支出1.3万元，全部执行完毕，项目经费完成率为100%。</w:t>
      </w:r>
    </w:p>
    <w:p>
      <w:pPr>
        <w:pStyle w:val="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lang w:val="en-US" w:eastAsia="zh-CN"/>
        </w:rPr>
      </w:pPr>
      <w:r>
        <w:rPr>
          <w:rFonts w:hint="default" w:ascii="Times New Roman" w:hAnsi="Times New Roman" w:eastAsia="仿宋_GB2312"/>
          <w:color w:val="auto"/>
          <w:sz w:val="32"/>
          <w:szCs w:val="32"/>
          <w:highlight w:val="none"/>
          <w:lang w:val="en-US" w:eastAsia="zh-CN"/>
        </w:rPr>
        <w:t>万名医师支援农村</w:t>
      </w:r>
      <w:r>
        <w:rPr>
          <w:rFonts w:hint="eastAsia" w:ascii="Times New Roman" w:hAnsi="Times New Roman" w:eastAsia="仿宋_GB2312"/>
          <w:color w:val="auto"/>
          <w:sz w:val="32"/>
          <w:szCs w:val="32"/>
          <w:highlight w:val="none"/>
          <w:lang w:val="en-US" w:eastAsia="zh-CN"/>
        </w:rPr>
        <w:t>上年度结转资金2万元，本年度实际支出2万元，全部执行完毕，项目经费完成率为100%。</w:t>
      </w:r>
    </w:p>
    <w:p>
      <w:pPr>
        <w:pStyle w:val="3"/>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卫生健康支出</w:t>
      </w:r>
      <w:r>
        <w:rPr>
          <w:rFonts w:hint="eastAsia" w:ascii="Times New Roman" w:hAnsi="Times New Roman" w:eastAsia="仿宋_GB2312"/>
          <w:color w:val="auto"/>
          <w:sz w:val="32"/>
          <w:szCs w:val="32"/>
          <w:highlight w:val="none"/>
        </w:rPr>
        <w:t>（类）</w:t>
      </w:r>
      <w:r>
        <w:rPr>
          <w:rFonts w:hint="eastAsia" w:ascii="仿宋_GB2312" w:hAnsi="仿宋_GB2312" w:eastAsia="仿宋_GB2312" w:cs="仿宋_GB2312"/>
          <w:color w:val="auto"/>
          <w:sz w:val="32"/>
          <w:szCs w:val="32"/>
          <w:highlight w:val="none"/>
        </w:rPr>
        <w:t>公共卫生</w:t>
      </w:r>
      <w:r>
        <w:rPr>
          <w:rFonts w:hint="eastAsia" w:ascii="Times New Roman" w:hAnsi="Times New Roman" w:eastAsia="仿宋_GB2312"/>
          <w:color w:val="auto"/>
          <w:sz w:val="32"/>
          <w:szCs w:val="32"/>
          <w:highlight w:val="none"/>
        </w:rPr>
        <w:t>（款）</w:t>
      </w:r>
      <w:r>
        <w:rPr>
          <w:rFonts w:hint="eastAsia" w:ascii="Times New Roman" w:hAnsi="Times New Roman" w:eastAsia="仿宋_GB2312"/>
          <w:color w:val="auto"/>
          <w:sz w:val="32"/>
          <w:szCs w:val="32"/>
          <w:highlight w:val="none"/>
          <w:lang w:eastAsia="zh-CN"/>
        </w:rPr>
        <w:t>重大公共卫生服务</w:t>
      </w:r>
      <w:r>
        <w:rPr>
          <w:rFonts w:hint="eastAsia" w:ascii="Times New Roman" w:hAnsi="Times New Roman" w:eastAsia="仿宋_GB2312"/>
          <w:color w:val="auto"/>
          <w:sz w:val="32"/>
          <w:szCs w:val="32"/>
          <w:highlight w:val="none"/>
        </w:rPr>
        <w:t>（项）。</w:t>
      </w:r>
    </w:p>
    <w:p>
      <w:pPr>
        <w:pStyle w:val="3"/>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9</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9</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完成年初预算的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val="en-US" w:eastAsia="zh-CN"/>
        </w:rPr>
        <w:t>等于</w:t>
      </w:r>
      <w:r>
        <w:rPr>
          <w:rFonts w:hint="eastAsia" w:ascii="Times New Roman" w:hAnsi="Times New Roman" w:eastAsia="仿宋_GB2312"/>
          <w:color w:val="auto"/>
          <w:sz w:val="32"/>
          <w:szCs w:val="32"/>
          <w:highlight w:val="none"/>
        </w:rPr>
        <w:t>年初预算数：</w:t>
      </w:r>
    </w:p>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口腔干预项目年初预算9万元，年中增加12万元，本年度实际支出9万元，余额12万元结转至下年度使用，项目经费完成率为42.86%。</w:t>
      </w:r>
    </w:p>
    <w:p>
      <w:pPr>
        <w:pStyle w:val="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卫生健康</w:t>
      </w:r>
      <w:r>
        <w:rPr>
          <w:rFonts w:hint="eastAsia" w:ascii="仿宋_GB2312" w:hAnsi="仿宋_GB2312" w:eastAsia="仿宋_GB2312" w:cs="仿宋_GB2312"/>
          <w:color w:val="auto"/>
          <w:sz w:val="32"/>
          <w:szCs w:val="32"/>
          <w:highlight w:val="none"/>
        </w:rPr>
        <w:t>支出（类）公共卫生（款）</w:t>
      </w:r>
      <w:r>
        <w:rPr>
          <w:rFonts w:hint="eastAsia" w:ascii="仿宋_GB2312" w:hAnsi="仿宋_GB2312" w:eastAsia="仿宋_GB2312" w:cs="仿宋_GB2312"/>
          <w:color w:val="auto"/>
          <w:sz w:val="32"/>
          <w:szCs w:val="32"/>
          <w:highlight w:val="none"/>
          <w:lang w:eastAsia="zh-CN"/>
        </w:rPr>
        <w:t>突发公共卫生事件应急</w:t>
      </w:r>
      <w:r>
        <w:rPr>
          <w:rFonts w:hint="eastAsia" w:ascii="仿宋_GB2312" w:hAnsi="仿宋_GB2312" w:eastAsia="仿宋_GB2312" w:cs="仿宋_GB2312"/>
          <w:color w:val="auto"/>
          <w:sz w:val="32"/>
          <w:szCs w:val="32"/>
          <w:highlight w:val="none"/>
          <w:lang w:val="en-US" w:eastAsia="zh-CN"/>
        </w:rPr>
        <w:t>处置</w:t>
      </w:r>
      <w:r>
        <w:rPr>
          <w:rFonts w:hint="eastAsia" w:ascii="仿宋_GB2312" w:hAnsi="仿宋_GB2312" w:eastAsia="仿宋_GB2312" w:cs="仿宋_GB2312"/>
          <w:color w:val="auto"/>
          <w:sz w:val="32"/>
          <w:szCs w:val="32"/>
          <w:highlight w:val="none"/>
        </w:rPr>
        <w:t>（项）</w:t>
      </w:r>
      <w:r>
        <w:rPr>
          <w:rFonts w:hint="eastAsia" w:ascii="Times New Roman" w:hAnsi="Times New Roman" w:eastAsia="仿宋_GB2312"/>
          <w:color w:val="auto"/>
          <w:sz w:val="32"/>
          <w:szCs w:val="32"/>
          <w:highlight w:val="none"/>
        </w:rPr>
        <w:t>。</w:t>
      </w:r>
    </w:p>
    <w:p>
      <w:pPr>
        <w:pStyle w:val="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61</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val="en-US" w:eastAsia="zh-CN"/>
        </w:rPr>
        <w:t>完成年初预算的0%，</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val="en-US" w:eastAsia="zh-CN"/>
        </w:rPr>
        <w:t>小于</w:t>
      </w:r>
      <w:r>
        <w:rPr>
          <w:rFonts w:hint="eastAsia" w:ascii="Times New Roman" w:hAnsi="Times New Roman" w:eastAsia="仿宋_GB2312"/>
          <w:color w:val="auto"/>
          <w:sz w:val="32"/>
          <w:szCs w:val="32"/>
          <w:highlight w:val="none"/>
        </w:rPr>
        <w:t>年初预算数的主要原因是：</w:t>
      </w:r>
    </w:p>
    <w:p>
      <w:pPr>
        <w:pStyle w:val="3"/>
        <w:overflowPunct w:val="0"/>
        <w:autoSpaceDE/>
        <w:autoSpaceDN/>
        <w:spacing w:line="600" w:lineRule="exact"/>
        <w:ind w:firstLine="640" w:firstLineChars="200"/>
        <w:jc w:val="both"/>
        <w:rPr>
          <w:rFonts w:hint="eastAsia" w:ascii="Times New Roman" w:hAnsi="Times New Roman" w:eastAsia="仿宋_GB2312"/>
          <w:color w:val="auto"/>
          <w:sz w:val="32"/>
          <w:szCs w:val="32"/>
          <w:highlight w:val="none"/>
          <w:lang w:val="en-US" w:eastAsia="zh-CN"/>
        </w:rPr>
      </w:pPr>
    </w:p>
    <w:p>
      <w:pPr>
        <w:pStyle w:val="3"/>
        <w:overflowPunct w:val="0"/>
        <w:autoSpaceDE/>
        <w:autoSpaceDN/>
        <w:spacing w:line="600" w:lineRule="exact"/>
        <w:ind w:firstLine="640" w:firstLineChars="200"/>
        <w:jc w:val="both"/>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（1）医务人员临时性工作补助年初预算37万元，本年度实际支出0万元，余额37万元已归集上缴。</w:t>
      </w:r>
    </w:p>
    <w:p>
      <w:pPr>
        <w:pStyle w:val="3"/>
        <w:overflowPunct w:val="0"/>
        <w:autoSpaceDE/>
        <w:autoSpaceDN/>
        <w:spacing w:line="600" w:lineRule="exact"/>
        <w:ind w:firstLine="640" w:firstLineChars="200"/>
        <w:jc w:val="both"/>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w:t>
      </w:r>
      <w:r>
        <w:rPr>
          <w:rFonts w:hint="default" w:ascii="Times New Roman" w:hAnsi="Times New Roman" w:eastAsia="仿宋_GB2312"/>
          <w:color w:val="auto"/>
          <w:sz w:val="32"/>
          <w:szCs w:val="32"/>
          <w:highlight w:val="none"/>
          <w:lang w:val="en-US" w:eastAsia="zh-CN"/>
        </w:rPr>
        <w:t>预拨付医务人员临时性工作补助</w:t>
      </w:r>
      <w:r>
        <w:rPr>
          <w:rFonts w:hint="eastAsia" w:ascii="Times New Roman" w:hAnsi="Times New Roman" w:eastAsia="仿宋_GB2312"/>
          <w:color w:val="auto"/>
          <w:sz w:val="32"/>
          <w:szCs w:val="32"/>
          <w:highlight w:val="none"/>
          <w:lang w:val="en-US" w:eastAsia="zh-CN"/>
        </w:rPr>
        <w:t>年初预算24万元，本年度实际支出0万元，余额24万元已归集上缴。</w:t>
      </w:r>
    </w:p>
    <w:p>
      <w:pPr>
        <w:pStyle w:val="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卫生健康</w:t>
      </w:r>
      <w:r>
        <w:rPr>
          <w:rFonts w:hint="eastAsia" w:ascii="仿宋_GB2312" w:hAnsi="仿宋_GB2312" w:eastAsia="仿宋_GB2312" w:cs="仿宋_GB2312"/>
          <w:color w:val="auto"/>
          <w:sz w:val="32"/>
          <w:szCs w:val="32"/>
          <w:highlight w:val="none"/>
        </w:rPr>
        <w:t>支出（类）公共卫生（款）</w:t>
      </w:r>
      <w:r>
        <w:rPr>
          <w:rFonts w:hint="eastAsia" w:ascii="仿宋_GB2312" w:hAnsi="仿宋_GB2312" w:eastAsia="仿宋_GB2312" w:cs="仿宋_GB2312"/>
          <w:color w:val="auto"/>
          <w:sz w:val="32"/>
          <w:szCs w:val="32"/>
          <w:highlight w:val="none"/>
          <w:lang w:eastAsia="zh-CN"/>
        </w:rPr>
        <w:t>其他公共卫生支出</w:t>
      </w:r>
      <w:r>
        <w:rPr>
          <w:rFonts w:hint="eastAsia" w:ascii="仿宋_GB2312" w:hAnsi="仿宋_GB2312" w:eastAsia="仿宋_GB2312" w:cs="仿宋_GB2312"/>
          <w:color w:val="auto"/>
          <w:sz w:val="32"/>
          <w:szCs w:val="32"/>
          <w:highlight w:val="none"/>
        </w:rPr>
        <w:t>（项）</w:t>
      </w:r>
      <w:r>
        <w:rPr>
          <w:rFonts w:hint="eastAsia" w:ascii="Times New Roman" w:hAnsi="Times New Roman" w:eastAsia="仿宋_GB2312"/>
          <w:color w:val="auto"/>
          <w:sz w:val="32"/>
          <w:szCs w:val="32"/>
          <w:highlight w:val="none"/>
        </w:rPr>
        <w:t>。</w:t>
      </w:r>
    </w:p>
    <w:p>
      <w:pPr>
        <w:pStyle w:val="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154.01</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201.02</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val="en-US" w:eastAsia="zh-CN"/>
        </w:rPr>
        <w:t>完成年初预算的130.52%，</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val="en-US" w:eastAsia="zh-CN"/>
        </w:rPr>
        <w:t>大于</w:t>
      </w:r>
      <w:r>
        <w:rPr>
          <w:rFonts w:hint="eastAsia" w:ascii="Times New Roman" w:hAnsi="Times New Roman" w:eastAsia="仿宋_GB2312"/>
          <w:color w:val="auto"/>
          <w:sz w:val="32"/>
          <w:szCs w:val="32"/>
          <w:highlight w:val="none"/>
        </w:rPr>
        <w:t>年初预算数的主要原因是：</w:t>
      </w:r>
    </w:p>
    <w:p>
      <w:pPr>
        <w:pStyle w:val="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全科医生上年度结转预算资金111.36万元，年初余额调整后余额为111.76万元，年中追加123.10万元，本年度实际支出150.76万元，余额84.10万元结转至下年度使用，项目经费完成率为64.19%。</w:t>
      </w:r>
    </w:p>
    <w:p>
      <w:pPr>
        <w:pStyle w:val="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全科转岗上年度结转预算资金42.65万元，年中追加42.5万元，本年度实际支出50.26万元，余额34.89万元结转至下年度使用，项目经费完成率为59.03%。</w:t>
      </w:r>
    </w:p>
    <w:p>
      <w:pPr>
        <w:pStyle w:val="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卫生健康</w:t>
      </w:r>
      <w:r>
        <w:rPr>
          <w:rFonts w:hint="eastAsia" w:ascii="仿宋_GB2312" w:hAnsi="仿宋_GB2312" w:eastAsia="仿宋_GB2312" w:cs="仿宋_GB2312"/>
          <w:color w:val="auto"/>
          <w:sz w:val="32"/>
          <w:szCs w:val="32"/>
          <w:highlight w:val="none"/>
        </w:rPr>
        <w:t>支出（类）其他卫生健康支出（款）</w:t>
      </w:r>
      <w:r>
        <w:rPr>
          <w:rFonts w:hint="eastAsia" w:ascii="仿宋_GB2312" w:hAnsi="仿宋_GB2312" w:eastAsia="仿宋_GB2312" w:cs="仿宋_GB2312"/>
          <w:color w:val="auto"/>
          <w:sz w:val="32"/>
          <w:szCs w:val="32"/>
          <w:highlight w:val="none"/>
          <w:lang w:eastAsia="zh-CN"/>
        </w:rPr>
        <w:t>其他卫生健康支出</w:t>
      </w:r>
      <w:r>
        <w:rPr>
          <w:rFonts w:hint="eastAsia" w:ascii="仿宋_GB2312" w:hAnsi="仿宋_GB2312" w:eastAsia="仿宋_GB2312" w:cs="仿宋_GB2312"/>
          <w:color w:val="auto"/>
          <w:sz w:val="32"/>
          <w:szCs w:val="32"/>
          <w:highlight w:val="none"/>
        </w:rPr>
        <w:t>（项）</w:t>
      </w:r>
      <w:r>
        <w:rPr>
          <w:rFonts w:hint="eastAsia" w:ascii="Times New Roman" w:hAnsi="Times New Roman" w:eastAsia="仿宋_GB2312"/>
          <w:color w:val="auto"/>
          <w:sz w:val="32"/>
          <w:szCs w:val="32"/>
          <w:highlight w:val="none"/>
        </w:rPr>
        <w:t>。</w:t>
      </w:r>
    </w:p>
    <w:p>
      <w:pPr>
        <w:pStyle w:val="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62</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362</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val="en-US" w:eastAsia="zh-CN"/>
        </w:rPr>
        <w:t>完成年初预算的583.87%，</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val="en-US" w:eastAsia="zh-CN"/>
        </w:rPr>
        <w:t>大于</w:t>
      </w:r>
      <w:r>
        <w:rPr>
          <w:rFonts w:hint="eastAsia" w:ascii="Times New Roman" w:hAnsi="Times New Roman" w:eastAsia="仿宋_GB2312"/>
          <w:color w:val="auto"/>
          <w:sz w:val="32"/>
          <w:szCs w:val="32"/>
          <w:highlight w:val="none"/>
        </w:rPr>
        <w:t>年初预算数的主要原因是：</w:t>
      </w:r>
    </w:p>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（1）重大专科设备采购上年度结转预算资金30万元，本年度实际支出30万元，全部执行完毕，项目经费完成率为100%。</w:t>
      </w:r>
    </w:p>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（2）新型冠状病毒感染疫情应急救治能力提升项目上年度结转预算资金32万元，本年度实际支出32万元，全部执行完毕，项目经费完成率为100%。</w:t>
      </w:r>
    </w:p>
    <w:p>
      <w:pPr>
        <w:pStyle w:val="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年中新增省属公立医院修缮和设备购置拨款600万元，本年度实际支出300万元，余额300万元结转至下年度使用，项目经费完成率为50%。</w:t>
      </w:r>
    </w:p>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Times New Roman" w:hAnsi="Times New Roman" w:eastAsia="仿宋_GB2312"/>
          <w:color w:val="auto"/>
          <w:sz w:val="32"/>
          <w:szCs w:val="32"/>
          <w:highlight w:val="none"/>
          <w:lang w:val="en-US" w:eastAsia="zh-CN"/>
        </w:rPr>
      </w:pPr>
    </w:p>
    <w:p>
      <w:pPr>
        <w:pStyle w:val="3"/>
        <w:overflowPunct w:val="0"/>
        <w:autoSpaceDE/>
        <w:autoSpaceDN/>
        <w:spacing w:line="600" w:lineRule="exact"/>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六、一般公共预算财政拨款基本支出决算情况说明</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2024年度一般公共预算财政拨款基本支出</w:t>
      </w:r>
      <w:r>
        <w:rPr>
          <w:rFonts w:hint="eastAsia" w:ascii="Times New Roman" w:hAnsi="Times New Roman" w:eastAsia="仿宋_GB2312" w:cs="Times New Roman"/>
          <w:sz w:val="32"/>
          <w:szCs w:val="32"/>
          <w:highlight w:val="none"/>
          <w:lang w:val="en-US" w:eastAsia="zh-CN"/>
        </w:rPr>
        <w:t>1545.15</w:t>
      </w:r>
      <w:r>
        <w:rPr>
          <w:rFonts w:ascii="Times New Roman" w:hAnsi="Times New Roman" w:eastAsia="仿宋_GB2312" w:cs="Times New Roman"/>
          <w:sz w:val="32"/>
          <w:szCs w:val="32"/>
          <w:highlight w:val="none"/>
        </w:rPr>
        <w:t>万元，其中：</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人员经费</w:t>
      </w:r>
      <w:r>
        <w:rPr>
          <w:rFonts w:hint="eastAsia" w:ascii="Times New Roman" w:hAnsi="Times New Roman" w:eastAsia="仿宋_GB2312" w:cs="Times New Roman"/>
          <w:sz w:val="32"/>
          <w:szCs w:val="32"/>
          <w:highlight w:val="none"/>
          <w:lang w:val="en-US" w:eastAsia="zh-CN"/>
        </w:rPr>
        <w:t>1545.15</w:t>
      </w:r>
      <w:r>
        <w:rPr>
          <w:rFonts w:ascii="Times New Roman" w:hAnsi="Times New Roman" w:eastAsia="仿宋_GB2312" w:cs="Times New Roman"/>
          <w:sz w:val="32"/>
          <w:szCs w:val="32"/>
          <w:highlight w:val="none"/>
        </w:rPr>
        <w:t>万元，占基本支出的</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%,主要包括基本工资、</w:t>
      </w:r>
      <w:r>
        <w:rPr>
          <w:rFonts w:hint="eastAsia" w:ascii="Times New Roman" w:hAnsi="Times New Roman" w:eastAsia="仿宋_GB2312" w:cs="Times New Roman"/>
          <w:sz w:val="32"/>
          <w:szCs w:val="32"/>
          <w:highlight w:val="none"/>
          <w:lang w:val="en-US" w:eastAsia="zh-CN"/>
        </w:rPr>
        <w:t>绩效工资</w:t>
      </w:r>
      <w:r>
        <w:rPr>
          <w:rFonts w:ascii="Times New Roman" w:hAnsi="Times New Roman" w:eastAsia="仿宋_GB2312" w:cs="Times New Roman"/>
          <w:sz w:val="32"/>
          <w:szCs w:val="32"/>
          <w:highlight w:val="none"/>
        </w:rPr>
        <w:t>。</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公用经费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万元，占基本支出的</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w:t>
      </w:r>
    </w:p>
    <w:p>
      <w:pPr>
        <w:pStyle w:val="3"/>
        <w:overflowPunct w:val="0"/>
        <w:autoSpaceDE/>
        <w:autoSpaceDN/>
        <w:spacing w:line="600" w:lineRule="exact"/>
        <w:ind w:firstLine="640" w:firstLineChars="200"/>
        <w:jc w:val="both"/>
        <w:rPr>
          <w:rFonts w:ascii="Times New Roman" w:hAnsi="Times New Roman" w:eastAsia="仿宋_GB2312" w:cs="Times New Roman"/>
          <w:b/>
          <w:sz w:val="32"/>
          <w:szCs w:val="32"/>
          <w:highlight w:val="none"/>
        </w:rPr>
      </w:pPr>
      <w:r>
        <w:rPr>
          <w:rFonts w:ascii="Times New Roman" w:hAnsi="Times New Roman" w:cs="Times New Roman"/>
          <w:bCs/>
          <w:sz w:val="32"/>
          <w:szCs w:val="32"/>
          <w:highlight w:val="none"/>
        </w:rPr>
        <w:t>七、财政拨款“三公”经费支出决算情况说明</w:t>
      </w:r>
    </w:p>
    <w:p>
      <w:pPr>
        <w:pStyle w:val="3"/>
        <w:overflowPunct w:val="0"/>
        <w:autoSpaceDE/>
        <w:autoSpaceDN/>
        <w:spacing w:line="600" w:lineRule="exact"/>
        <w:ind w:firstLine="640" w:firstLineChars="200"/>
        <w:jc w:val="both"/>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（一）“三公”经费财政拨款支出决算总体情况说明</w:t>
      </w:r>
    </w:p>
    <w:p>
      <w:pPr>
        <w:pStyle w:val="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highlight w:val="none"/>
        </w:rPr>
      </w:pPr>
      <w:r>
        <w:rPr>
          <w:rFonts w:ascii="Times New Roman" w:hAnsi="Times New Roman" w:eastAsia="仿宋_GB2312" w:cs="Times New Roman"/>
          <w:sz w:val="32"/>
          <w:szCs w:val="32"/>
          <w:highlight w:val="none"/>
        </w:rPr>
        <w:t>2024年度“三公”经费财政拨款支出预算为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w:t>
      </w:r>
      <w:r>
        <w:rPr>
          <w:rFonts w:hint="eastAsia" w:ascii="Times New Roman" w:hAnsi="Times New Roman" w:eastAsia="仿宋_GB2312"/>
          <w:color w:val="auto"/>
          <w:sz w:val="32"/>
          <w:szCs w:val="32"/>
          <w:highlight w:val="none"/>
          <w:lang w:eastAsia="zh-CN"/>
        </w:rPr>
        <w:t>由于预算数为</w:t>
      </w:r>
      <w:r>
        <w:rPr>
          <w:rFonts w:hint="eastAsia" w:ascii="Times New Roman" w:hAnsi="Times New Roman" w:eastAsia="仿宋_GB2312"/>
          <w:color w:val="auto"/>
          <w:sz w:val="32"/>
          <w:szCs w:val="32"/>
          <w:highlight w:val="none"/>
          <w:lang w:val="en-US" w:eastAsia="zh-CN"/>
        </w:rPr>
        <w:t>0，无法计算百分比</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eastAsia="zh-CN"/>
        </w:rPr>
        <w:t>等于</w:t>
      </w:r>
      <w:r>
        <w:rPr>
          <w:rFonts w:hint="eastAsia" w:ascii="Times New Roman" w:hAnsi="Times New Roman" w:eastAsia="仿宋_GB2312"/>
          <w:color w:val="auto"/>
          <w:sz w:val="32"/>
          <w:szCs w:val="32"/>
          <w:highlight w:val="none"/>
        </w:rPr>
        <w:t>预算数</w:t>
      </w:r>
      <w:r>
        <w:rPr>
          <w:rFonts w:hint="eastAsia" w:ascii="Times New Roman" w:hAnsi="Times New Roman" w:eastAsia="仿宋_GB2312"/>
          <w:color w:val="auto"/>
          <w:sz w:val="32"/>
          <w:szCs w:val="32"/>
          <w:highlight w:val="none"/>
          <w:lang w:eastAsia="zh-CN"/>
        </w:rPr>
        <w:t>，与上一年度的预决算情况持平。</w:t>
      </w:r>
      <w:r>
        <w:rPr>
          <w:rFonts w:hint="eastAsia" w:ascii="Times New Roman" w:hAnsi="Times New Roman" w:eastAsia="仿宋_GB2312"/>
          <w:color w:val="auto"/>
          <w:sz w:val="32"/>
          <w:szCs w:val="32"/>
          <w:highlight w:val="none"/>
        </w:rPr>
        <w:t>其中：</w:t>
      </w:r>
    </w:p>
    <w:p>
      <w:pPr>
        <w:pStyle w:val="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因公出国（境）费支出预算为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由于预算数为</w:t>
      </w:r>
      <w:r>
        <w:rPr>
          <w:rFonts w:hint="eastAsia" w:ascii="Times New Roman" w:hAnsi="Times New Roman" w:eastAsia="仿宋_GB2312"/>
          <w:color w:val="auto"/>
          <w:sz w:val="32"/>
          <w:szCs w:val="32"/>
          <w:highlight w:val="none"/>
          <w:lang w:val="en-US" w:eastAsia="zh-CN"/>
        </w:rPr>
        <w:t>0，无法计算百分比</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与上一年度的预决算情况持平</w:t>
      </w:r>
      <w:r>
        <w:rPr>
          <w:rFonts w:hint="eastAsia" w:ascii="Times New Roman" w:hAnsi="Times New Roman" w:eastAsia="仿宋_GB2312"/>
          <w:color w:val="auto"/>
          <w:sz w:val="32"/>
          <w:szCs w:val="32"/>
          <w:highlight w:val="none"/>
        </w:rPr>
        <w:t>。</w:t>
      </w:r>
    </w:p>
    <w:p>
      <w:pPr>
        <w:pStyle w:val="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公务接待费支出预算为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由于预算数为</w:t>
      </w:r>
      <w:r>
        <w:rPr>
          <w:rFonts w:hint="eastAsia" w:ascii="Times New Roman" w:hAnsi="Times New Roman" w:eastAsia="仿宋_GB2312"/>
          <w:color w:val="auto"/>
          <w:sz w:val="32"/>
          <w:szCs w:val="32"/>
          <w:highlight w:val="none"/>
          <w:lang w:val="en-US" w:eastAsia="zh-CN"/>
        </w:rPr>
        <w:t>0，无法计算百分比</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与上一年度的预决算情况持平</w:t>
      </w:r>
      <w:r>
        <w:rPr>
          <w:rFonts w:hint="eastAsia" w:ascii="Times New Roman" w:hAnsi="Times New Roman" w:eastAsia="仿宋_GB2312"/>
          <w:color w:val="auto"/>
          <w:sz w:val="32"/>
          <w:szCs w:val="32"/>
          <w:highlight w:val="none"/>
        </w:rPr>
        <w:t>。</w:t>
      </w:r>
    </w:p>
    <w:p>
      <w:pPr>
        <w:pStyle w:val="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公务用车购置费支出预算为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由于预算数为</w:t>
      </w:r>
      <w:r>
        <w:rPr>
          <w:rFonts w:hint="eastAsia" w:ascii="Times New Roman" w:hAnsi="Times New Roman" w:eastAsia="仿宋_GB2312"/>
          <w:color w:val="auto"/>
          <w:sz w:val="32"/>
          <w:szCs w:val="32"/>
          <w:highlight w:val="none"/>
          <w:lang w:val="en-US" w:eastAsia="zh-CN"/>
        </w:rPr>
        <w:t>0，无法计算百分比</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与上一年度的预决算情况持平</w:t>
      </w:r>
      <w:r>
        <w:rPr>
          <w:rFonts w:hint="eastAsia" w:ascii="Times New Roman" w:hAnsi="Times New Roman" w:eastAsia="仿宋_GB2312"/>
          <w:color w:val="auto"/>
          <w:sz w:val="32"/>
          <w:szCs w:val="32"/>
          <w:highlight w:val="none"/>
        </w:rPr>
        <w:t>。</w:t>
      </w:r>
    </w:p>
    <w:p>
      <w:pPr>
        <w:pStyle w:val="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楷体_GB2312" w:cs="Times New Roman"/>
          <w:b/>
          <w:sz w:val="32"/>
          <w:szCs w:val="32"/>
          <w:highlight w:val="none"/>
          <w:lang w:val="en-US" w:eastAsia="zh-CN"/>
        </w:rPr>
      </w:pPr>
      <w:r>
        <w:rPr>
          <w:rFonts w:hint="eastAsia" w:ascii="Times New Roman" w:hAnsi="Times New Roman" w:eastAsia="仿宋_GB2312"/>
          <w:color w:val="auto"/>
          <w:sz w:val="32"/>
          <w:szCs w:val="32"/>
          <w:highlight w:val="none"/>
        </w:rPr>
        <w:t>公务用车运行维护费支出预算为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由于预算数为</w:t>
      </w:r>
      <w:r>
        <w:rPr>
          <w:rFonts w:hint="eastAsia" w:ascii="Times New Roman" w:hAnsi="Times New Roman" w:eastAsia="仿宋_GB2312"/>
          <w:color w:val="auto"/>
          <w:sz w:val="32"/>
          <w:szCs w:val="32"/>
          <w:highlight w:val="none"/>
          <w:lang w:val="en-US" w:eastAsia="zh-CN"/>
        </w:rPr>
        <w:t>0，无法计算百分比</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与上一年度的预决算情况持平</w:t>
      </w:r>
      <w:r>
        <w:rPr>
          <w:rFonts w:hint="eastAsia" w:ascii="Times New Roman" w:hAnsi="Times New Roman" w:eastAsia="仿宋_GB2312"/>
          <w:color w:val="auto"/>
          <w:sz w:val="32"/>
          <w:szCs w:val="32"/>
          <w:highlight w:val="none"/>
        </w:rPr>
        <w:t>。</w:t>
      </w:r>
    </w:p>
    <w:p>
      <w:pPr>
        <w:pStyle w:val="3"/>
        <w:overflowPunct w:val="0"/>
        <w:autoSpaceDE/>
        <w:autoSpaceDN/>
        <w:spacing w:line="600" w:lineRule="exact"/>
        <w:ind w:firstLine="640" w:firstLineChars="200"/>
        <w:jc w:val="both"/>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（二）“三公”经费财政拨款支出决算具体情况说明</w:t>
      </w:r>
    </w:p>
    <w:p>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b/>
          <w:bCs/>
          <w:i/>
          <w:color w:val="auto"/>
          <w:sz w:val="32"/>
          <w:szCs w:val="32"/>
          <w:highlight w:val="none"/>
          <w:lang w:eastAsia="zh-CN"/>
        </w:rPr>
      </w:pPr>
      <w:r>
        <w:rPr>
          <w:rFonts w:ascii="Times New Roman" w:hAnsi="Times New Roman" w:eastAsia="仿宋_GB2312" w:cs="Times New Roman"/>
          <w:sz w:val="32"/>
          <w:szCs w:val="32"/>
          <w:highlight w:val="none"/>
        </w:rPr>
        <w:t>1.因公出国（境）费支出预算为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w:t>
      </w:r>
      <w:r>
        <w:rPr>
          <w:rFonts w:hint="eastAsia" w:ascii="Times New Roman" w:hAnsi="Times New Roman" w:eastAsia="仿宋_GB2312"/>
          <w:color w:val="auto"/>
          <w:sz w:val="32"/>
          <w:szCs w:val="32"/>
          <w:highlight w:val="none"/>
          <w:lang w:eastAsia="zh-CN"/>
        </w:rPr>
        <w:t>由于预算数为</w:t>
      </w:r>
      <w:r>
        <w:rPr>
          <w:rFonts w:hint="eastAsia" w:ascii="Times New Roman" w:hAnsi="Times New Roman" w:eastAsia="仿宋_GB2312"/>
          <w:color w:val="auto"/>
          <w:sz w:val="32"/>
          <w:szCs w:val="32"/>
          <w:highlight w:val="none"/>
          <w:lang w:val="en-US" w:eastAsia="zh-CN"/>
        </w:rPr>
        <w:t>0，无法计算百分比</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与上一年度的预决算情况持平</w:t>
      </w:r>
      <w:r>
        <w:rPr>
          <w:rFonts w:hint="eastAsia" w:ascii="Times New Roman" w:hAnsi="Times New Roman" w:eastAsia="仿宋_GB2312"/>
          <w:color w:val="auto"/>
          <w:sz w:val="32"/>
          <w:szCs w:val="32"/>
          <w:highlight w:val="none"/>
        </w:rPr>
        <w:t>。</w:t>
      </w:r>
      <w:r>
        <w:rPr>
          <w:rFonts w:ascii="Times New Roman" w:hAnsi="Times New Roman" w:eastAsia="仿宋_GB2312" w:cs="Times New Roman"/>
          <w:sz w:val="32"/>
          <w:szCs w:val="32"/>
          <w:highlight w:val="none"/>
        </w:rPr>
        <w:t>2024年度安排因公出国（境）团组</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个，累计</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人次。</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2.公务用车购置费及运行维护费支出预算为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w:t>
      </w:r>
      <w:r>
        <w:rPr>
          <w:rFonts w:hint="eastAsia" w:ascii="Times New Roman" w:hAnsi="Times New Roman" w:eastAsia="仿宋_GB2312"/>
          <w:color w:val="auto"/>
          <w:sz w:val="32"/>
          <w:szCs w:val="32"/>
          <w:highlight w:val="none"/>
          <w:lang w:eastAsia="zh-CN"/>
        </w:rPr>
        <w:t>由于预算数为</w:t>
      </w:r>
      <w:r>
        <w:rPr>
          <w:rFonts w:hint="eastAsia" w:ascii="Times New Roman" w:hAnsi="Times New Roman" w:eastAsia="仿宋_GB2312"/>
          <w:color w:val="auto"/>
          <w:sz w:val="32"/>
          <w:szCs w:val="32"/>
          <w:highlight w:val="none"/>
          <w:lang w:val="en-US" w:eastAsia="zh-CN"/>
        </w:rPr>
        <w:t>0，无法计算百分比</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与上一年度的预决算情况持平</w:t>
      </w:r>
      <w:r>
        <w:rPr>
          <w:rFonts w:hint="eastAsia" w:ascii="Times New Roman" w:hAnsi="Times New Roman" w:eastAsia="仿宋_GB2312"/>
          <w:color w:val="auto"/>
          <w:sz w:val="32"/>
          <w:szCs w:val="32"/>
          <w:highlight w:val="none"/>
        </w:rPr>
        <w:t>。</w:t>
      </w:r>
      <w:r>
        <w:rPr>
          <w:rFonts w:ascii="Times New Roman" w:hAnsi="Times New Roman" w:eastAsia="仿宋_GB2312" w:cs="Times New Roman"/>
          <w:sz w:val="32"/>
          <w:szCs w:val="32"/>
          <w:highlight w:val="none"/>
        </w:rPr>
        <w:t>其中：</w:t>
      </w:r>
    </w:p>
    <w:p>
      <w:pPr>
        <w:pStyle w:val="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公务用车购置费支出预算为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w:t>
      </w:r>
      <w:r>
        <w:rPr>
          <w:rFonts w:hint="eastAsia" w:ascii="Times New Roman" w:hAnsi="Times New Roman" w:eastAsia="仿宋_GB2312"/>
          <w:color w:val="auto"/>
          <w:sz w:val="32"/>
          <w:szCs w:val="32"/>
          <w:highlight w:val="none"/>
          <w:lang w:eastAsia="zh-CN"/>
        </w:rPr>
        <w:t>由于预算数为</w:t>
      </w:r>
      <w:r>
        <w:rPr>
          <w:rFonts w:hint="eastAsia" w:ascii="Times New Roman" w:hAnsi="Times New Roman" w:eastAsia="仿宋_GB2312"/>
          <w:color w:val="auto"/>
          <w:sz w:val="32"/>
          <w:szCs w:val="32"/>
          <w:highlight w:val="none"/>
          <w:lang w:val="en-US" w:eastAsia="zh-CN"/>
        </w:rPr>
        <w:t>0，无法计算百分比</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与上一年度的预决算情况持平</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邵阳学院附属第二医院</w:t>
      </w:r>
      <w:r>
        <w:rPr>
          <w:rFonts w:ascii="Times New Roman" w:hAnsi="Times New Roman" w:eastAsia="仿宋_GB2312" w:cs="Times New Roman"/>
          <w:sz w:val="32"/>
          <w:szCs w:val="32"/>
          <w:highlight w:val="none"/>
        </w:rPr>
        <w:t>更新公务用车</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辆</w:t>
      </w:r>
      <w:r>
        <w:rPr>
          <w:rFonts w:hint="eastAsia" w:ascii="Times New Roman" w:hAnsi="Times New Roman" w:eastAsia="仿宋_GB2312" w:cs="Times New Roman"/>
          <w:sz w:val="32"/>
          <w:szCs w:val="32"/>
          <w:highlight w:val="none"/>
          <w:lang w:eastAsia="zh-CN"/>
        </w:rPr>
        <w:t>。</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公务用车运行维护费支出预算为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未发生支出</w:t>
      </w:r>
      <w:r>
        <w:rPr>
          <w:rFonts w:ascii="Times New Roman" w:hAnsi="Times New Roman" w:eastAsia="仿宋_GB2312" w:cs="Times New Roman"/>
          <w:sz w:val="32"/>
          <w:szCs w:val="32"/>
          <w:highlight w:val="none"/>
        </w:rPr>
        <w:t>，</w:t>
      </w:r>
      <w:r>
        <w:rPr>
          <w:rFonts w:hint="eastAsia" w:ascii="Times New Roman" w:hAnsi="Times New Roman" w:eastAsia="仿宋_GB2312"/>
          <w:color w:val="auto"/>
          <w:sz w:val="32"/>
          <w:szCs w:val="32"/>
          <w:highlight w:val="none"/>
          <w:lang w:eastAsia="zh-CN"/>
        </w:rPr>
        <w:t>由于预算数为</w:t>
      </w:r>
      <w:r>
        <w:rPr>
          <w:rFonts w:hint="eastAsia" w:ascii="Times New Roman" w:hAnsi="Times New Roman" w:eastAsia="仿宋_GB2312"/>
          <w:color w:val="auto"/>
          <w:sz w:val="32"/>
          <w:szCs w:val="32"/>
          <w:highlight w:val="none"/>
          <w:lang w:val="en-US" w:eastAsia="zh-CN"/>
        </w:rPr>
        <w:t>0，无法计算百分比</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与上一年度的预决算情况持平</w:t>
      </w:r>
      <w:r>
        <w:rPr>
          <w:rFonts w:hint="eastAsia" w:ascii="Times New Roman" w:hAnsi="Times New Roman" w:eastAsia="仿宋_GB2312"/>
          <w:color w:val="auto"/>
          <w:sz w:val="32"/>
          <w:szCs w:val="32"/>
          <w:highlight w:val="none"/>
        </w:rPr>
        <w:t>。</w:t>
      </w:r>
      <w:r>
        <w:rPr>
          <w:rFonts w:ascii="Times New Roman" w:hAnsi="Times New Roman" w:eastAsia="仿宋_GB2312" w:cs="Times New Roman"/>
          <w:sz w:val="32"/>
          <w:szCs w:val="32"/>
          <w:highlight w:val="none"/>
        </w:rPr>
        <w:t>截止2024年12月31日，我单位开支财政拨款的公务用车保有量为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辆。</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3.公务接待费支出预算为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w:t>
      </w:r>
      <w:r>
        <w:rPr>
          <w:rFonts w:hint="eastAsia" w:ascii="Times New Roman" w:hAnsi="Times New Roman" w:eastAsia="仿宋_GB2312"/>
          <w:color w:val="auto"/>
          <w:sz w:val="32"/>
          <w:szCs w:val="32"/>
          <w:highlight w:val="none"/>
          <w:lang w:eastAsia="zh-CN"/>
        </w:rPr>
        <w:t>由于预算数为</w:t>
      </w:r>
      <w:r>
        <w:rPr>
          <w:rFonts w:hint="eastAsia" w:ascii="Times New Roman" w:hAnsi="Times New Roman" w:eastAsia="仿宋_GB2312"/>
          <w:color w:val="auto"/>
          <w:sz w:val="32"/>
          <w:szCs w:val="32"/>
          <w:highlight w:val="none"/>
          <w:lang w:val="en-US" w:eastAsia="zh-CN"/>
        </w:rPr>
        <w:t>0，无法计算百分比</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与上一年度的预决算情况持平</w:t>
      </w:r>
      <w:r>
        <w:rPr>
          <w:rFonts w:hint="eastAsia" w:ascii="Times New Roman" w:hAnsi="Times New Roman" w:eastAsia="仿宋_GB2312"/>
          <w:color w:val="auto"/>
          <w:sz w:val="32"/>
          <w:szCs w:val="32"/>
          <w:highlight w:val="none"/>
        </w:rPr>
        <w:t>。</w:t>
      </w:r>
      <w:r>
        <w:rPr>
          <w:rFonts w:ascii="Times New Roman" w:hAnsi="Times New Roman" w:eastAsia="仿宋_GB2312" w:cs="Times New Roman"/>
          <w:sz w:val="32"/>
          <w:szCs w:val="32"/>
          <w:highlight w:val="none"/>
        </w:rPr>
        <w:t>2024年度共接待来访团组</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个、来宾</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人次。</w:t>
      </w:r>
    </w:p>
    <w:p>
      <w:pPr>
        <w:pStyle w:val="3"/>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八、政府性基金预算收入支出决算情况</w:t>
      </w:r>
    </w:p>
    <w:p>
      <w:pPr>
        <w:pStyle w:val="3"/>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stheme="minorBidi"/>
          <w:color w:val="auto"/>
          <w:kern w:val="2"/>
          <w:sz w:val="32"/>
          <w:szCs w:val="32"/>
          <w:highlight w:val="none"/>
          <w:lang w:val="en-US" w:eastAsia="zh-CN" w:bidi="ar-SA"/>
        </w:rPr>
        <w:t>本单位无政府性基金收支。</w:t>
      </w:r>
    </w:p>
    <w:p>
      <w:pPr>
        <w:pStyle w:val="3"/>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九、关于机关运行经费支出说明</w:t>
      </w:r>
    </w:p>
    <w:p>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ascii="Times New Roman" w:hAnsi="Times New Roman" w:eastAsia="仿宋_GB2312" w:cs="Times New Roman"/>
          <w:sz w:val="32"/>
          <w:szCs w:val="32"/>
          <w:highlight w:val="none"/>
        </w:rPr>
        <w:t>本部门2024年度机关运行经费支出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w:t>
      </w:r>
      <w:r>
        <w:rPr>
          <w:rFonts w:hint="eastAsia" w:ascii="Times New Roman" w:hAnsi="Times New Roman" w:eastAsia="仿宋_GB2312" w:cstheme="minorBidi"/>
          <w:color w:val="auto"/>
          <w:kern w:val="2"/>
          <w:sz w:val="32"/>
          <w:szCs w:val="32"/>
          <w:highlight w:val="none"/>
          <w:lang w:val="en-US" w:eastAsia="zh-CN" w:bidi="ar-SA"/>
        </w:rPr>
        <w:t>年初预算数为0万元，比年初预算数增加0万元，</w:t>
      </w:r>
      <w:r>
        <w:rPr>
          <w:rFonts w:hint="eastAsia" w:ascii="Times New Roman" w:hAnsi="Times New Roman" w:eastAsia="仿宋_GB2312"/>
          <w:color w:val="auto"/>
          <w:sz w:val="32"/>
          <w:szCs w:val="32"/>
          <w:highlight w:val="none"/>
          <w:lang w:eastAsia="zh-CN"/>
        </w:rPr>
        <w:t>由于预算数为</w:t>
      </w:r>
      <w:r>
        <w:rPr>
          <w:rFonts w:hint="eastAsia" w:ascii="Times New Roman" w:hAnsi="Times New Roman" w:eastAsia="仿宋_GB2312"/>
          <w:color w:val="auto"/>
          <w:sz w:val="32"/>
          <w:szCs w:val="32"/>
          <w:highlight w:val="none"/>
          <w:lang w:val="en-US" w:eastAsia="zh-CN"/>
        </w:rPr>
        <w:t>0，无法计算百分比</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与上一年度的预决算情况持平</w:t>
      </w:r>
      <w:r>
        <w:rPr>
          <w:rFonts w:hint="eastAsia" w:ascii="Times New Roman" w:hAnsi="Times New Roman" w:eastAsia="仿宋_GB2312"/>
          <w:color w:val="auto"/>
          <w:sz w:val="32"/>
          <w:szCs w:val="32"/>
          <w:highlight w:val="none"/>
        </w:rPr>
        <w:t>。</w:t>
      </w:r>
    </w:p>
    <w:p>
      <w:pPr>
        <w:pStyle w:val="3"/>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十、一般性支出情况说明</w:t>
      </w:r>
    </w:p>
    <w:p>
      <w:pPr>
        <w:pStyle w:val="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2024年本部门开支会议费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万元；开支培训费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万元；举办节庆、晚会、论坛、赛事活动，开支</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w:t>
      </w:r>
    </w:p>
    <w:p>
      <w:pPr>
        <w:pStyle w:val="3"/>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十一、关于政府采购支出说明</w:t>
      </w:r>
    </w:p>
    <w:p>
      <w:pPr>
        <w:pStyle w:val="3"/>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sz w:val="32"/>
          <w:szCs w:val="32"/>
          <w:highlight w:val="none"/>
        </w:rPr>
        <w:t>本部门2024年度政府采购支出总额</w:t>
      </w:r>
      <w:r>
        <w:rPr>
          <w:rFonts w:hint="eastAsia" w:ascii="Times New Roman" w:hAnsi="Times New Roman" w:eastAsia="仿宋_GB2312" w:cs="Times New Roman"/>
          <w:sz w:val="32"/>
          <w:szCs w:val="32"/>
          <w:highlight w:val="none"/>
          <w:lang w:val="en-US" w:eastAsia="zh-CN"/>
        </w:rPr>
        <w:t>2235.77</w:t>
      </w:r>
      <w:r>
        <w:rPr>
          <w:rFonts w:ascii="Times New Roman" w:hAnsi="Times New Roman" w:eastAsia="仿宋_GB2312" w:cs="Times New Roman"/>
          <w:sz w:val="32"/>
          <w:szCs w:val="32"/>
          <w:highlight w:val="none"/>
        </w:rPr>
        <w:t>万元，其中：政府采购货物支出</w:t>
      </w:r>
      <w:r>
        <w:rPr>
          <w:rFonts w:hint="eastAsia" w:ascii="Times New Roman" w:hAnsi="Times New Roman" w:eastAsia="仿宋_GB2312" w:cs="Times New Roman"/>
          <w:sz w:val="32"/>
          <w:szCs w:val="32"/>
          <w:highlight w:val="none"/>
          <w:lang w:val="en-US" w:eastAsia="zh-CN"/>
        </w:rPr>
        <w:t>1434.78</w:t>
      </w:r>
      <w:r>
        <w:rPr>
          <w:rFonts w:ascii="Times New Roman" w:hAnsi="Times New Roman" w:eastAsia="仿宋_GB2312" w:cs="Times New Roman"/>
          <w:sz w:val="32"/>
          <w:szCs w:val="32"/>
          <w:highlight w:val="none"/>
        </w:rPr>
        <w:t xml:space="preserve"> 万元、政府采购工程支出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万元、政府采购服务支出</w:t>
      </w:r>
      <w:r>
        <w:rPr>
          <w:rFonts w:hint="eastAsia" w:ascii="Times New Roman" w:hAnsi="Times New Roman" w:eastAsia="仿宋_GB2312" w:cs="Times New Roman"/>
          <w:sz w:val="32"/>
          <w:szCs w:val="32"/>
          <w:highlight w:val="none"/>
          <w:lang w:val="en-US" w:eastAsia="zh-CN"/>
        </w:rPr>
        <w:t>800.99</w:t>
      </w:r>
      <w:r>
        <w:rPr>
          <w:rFonts w:ascii="Times New Roman" w:hAnsi="Times New Roman" w:eastAsia="仿宋_GB2312" w:cs="Times New Roman"/>
          <w:sz w:val="32"/>
          <w:szCs w:val="32"/>
          <w:highlight w:val="none"/>
        </w:rPr>
        <w:t>万元。授予中小企业合同金额</w:t>
      </w:r>
      <w:r>
        <w:rPr>
          <w:rFonts w:hint="eastAsia" w:ascii="Times New Roman" w:hAnsi="Times New Roman" w:eastAsia="仿宋_GB2312" w:cs="Times New Roman"/>
          <w:sz w:val="32"/>
          <w:szCs w:val="32"/>
          <w:highlight w:val="none"/>
          <w:lang w:val="en-US" w:eastAsia="zh-CN"/>
        </w:rPr>
        <w:t>2077.87</w:t>
      </w:r>
      <w:r>
        <w:rPr>
          <w:rFonts w:ascii="Times New Roman" w:hAnsi="Times New Roman" w:eastAsia="仿宋_GB2312" w:cs="Times New Roman"/>
          <w:sz w:val="32"/>
          <w:szCs w:val="32"/>
          <w:highlight w:val="none"/>
        </w:rPr>
        <w:t>万元，占政府采购支出总额的</w:t>
      </w:r>
      <w:r>
        <w:rPr>
          <w:rFonts w:hint="eastAsia" w:ascii="Times New Roman" w:hAnsi="Times New Roman" w:eastAsia="仿宋_GB2312" w:cs="Times New Roman"/>
          <w:sz w:val="32"/>
          <w:szCs w:val="32"/>
          <w:highlight w:val="none"/>
          <w:lang w:val="en-US" w:eastAsia="zh-CN"/>
        </w:rPr>
        <w:t>92.94</w:t>
      </w:r>
      <w:r>
        <w:rPr>
          <w:rFonts w:ascii="Times New Roman" w:hAnsi="Times New Roman" w:eastAsia="仿宋_GB2312" w:cs="Times New Roman"/>
          <w:sz w:val="32"/>
          <w:szCs w:val="32"/>
          <w:highlight w:val="none"/>
        </w:rPr>
        <w:t>%，其中：授予小微企业合同金额</w:t>
      </w:r>
      <w:r>
        <w:rPr>
          <w:rFonts w:hint="eastAsia" w:ascii="Times New Roman" w:hAnsi="Times New Roman" w:eastAsia="仿宋_GB2312" w:cs="Times New Roman"/>
          <w:sz w:val="32"/>
          <w:szCs w:val="32"/>
          <w:highlight w:val="none"/>
          <w:lang w:val="en-US" w:eastAsia="zh-CN"/>
        </w:rPr>
        <w:t>855.29</w:t>
      </w:r>
      <w:r>
        <w:rPr>
          <w:rFonts w:ascii="Times New Roman" w:hAnsi="Times New Roman" w:eastAsia="仿宋_GB2312" w:cs="Times New Roman"/>
          <w:sz w:val="32"/>
          <w:szCs w:val="32"/>
          <w:highlight w:val="none"/>
        </w:rPr>
        <w:t>万元，</w:t>
      </w:r>
      <w:r>
        <w:rPr>
          <w:rFonts w:ascii="Times New Roman" w:hAnsi="Times New Roman" w:eastAsia="仿宋_GB2312" w:cs="Times New Roman"/>
          <w:color w:val="auto"/>
          <w:sz w:val="32"/>
          <w:szCs w:val="32"/>
          <w:highlight w:val="none"/>
        </w:rPr>
        <w:t>占授予中小企业合同金额的</w:t>
      </w:r>
      <w:r>
        <w:rPr>
          <w:rFonts w:hint="eastAsia" w:ascii="Times New Roman" w:hAnsi="Times New Roman" w:eastAsia="仿宋_GB2312" w:cs="Times New Roman"/>
          <w:color w:val="auto"/>
          <w:sz w:val="32"/>
          <w:szCs w:val="32"/>
          <w:highlight w:val="none"/>
          <w:lang w:val="en-US" w:eastAsia="zh-CN"/>
        </w:rPr>
        <w:t>41.16</w:t>
      </w:r>
      <w:r>
        <w:rPr>
          <w:rFonts w:ascii="Times New Roman" w:hAnsi="Times New Roman" w:eastAsia="仿宋_GB2312" w:cs="Times New Roman"/>
          <w:color w:val="auto"/>
          <w:sz w:val="32"/>
          <w:szCs w:val="32"/>
          <w:highlight w:val="none"/>
        </w:rPr>
        <w:t>%。货物采购授予中小企业合同金额占货物支出金额的</w:t>
      </w:r>
      <w:r>
        <w:rPr>
          <w:rFonts w:hint="eastAsia" w:ascii="Times New Roman" w:hAnsi="Times New Roman" w:eastAsia="仿宋_GB2312" w:cs="Times New Roman"/>
          <w:color w:val="auto"/>
          <w:sz w:val="32"/>
          <w:szCs w:val="32"/>
          <w:highlight w:val="none"/>
          <w:lang w:val="en-US" w:eastAsia="zh-CN"/>
        </w:rPr>
        <w:t>100</w:t>
      </w:r>
      <w:r>
        <w:rPr>
          <w:rFonts w:ascii="Times New Roman" w:hAnsi="Times New Roman" w:eastAsia="仿宋_GB2312" w:cs="Times New Roman"/>
          <w:color w:val="auto"/>
          <w:sz w:val="32"/>
          <w:szCs w:val="32"/>
          <w:highlight w:val="none"/>
        </w:rPr>
        <w:t>%，工程采购授予中小企业合同金额占工程支出金额的</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%，服务采购授予中小企业合同金额占服务支出金额的</w:t>
      </w:r>
      <w:r>
        <w:rPr>
          <w:rFonts w:hint="eastAsia" w:ascii="Times New Roman" w:hAnsi="Times New Roman" w:eastAsia="仿宋_GB2312" w:cs="Times New Roman"/>
          <w:color w:val="auto"/>
          <w:sz w:val="32"/>
          <w:szCs w:val="32"/>
          <w:highlight w:val="none"/>
          <w:lang w:val="en-US" w:eastAsia="zh-CN"/>
        </w:rPr>
        <w:t>80.29</w:t>
      </w:r>
      <w:r>
        <w:rPr>
          <w:rFonts w:ascii="Times New Roman" w:hAnsi="Times New Roman" w:eastAsia="仿宋_GB2312" w:cs="Times New Roman"/>
          <w:color w:val="auto"/>
          <w:sz w:val="32"/>
          <w:szCs w:val="32"/>
          <w:highlight w:val="none"/>
        </w:rPr>
        <w:t>%。</w:t>
      </w:r>
    </w:p>
    <w:p>
      <w:pPr>
        <w:pStyle w:val="3"/>
        <w:overflowPunct w:val="0"/>
        <w:autoSpaceDE/>
        <w:autoSpaceDN/>
        <w:spacing w:line="600" w:lineRule="exact"/>
        <w:ind w:firstLine="640" w:firstLineChars="200"/>
        <w:jc w:val="both"/>
        <w:rPr>
          <w:rFonts w:ascii="Times New Roman" w:hAnsi="Times New Roman" w:cs="Times New Roman"/>
          <w:bCs/>
          <w:color w:val="auto"/>
          <w:sz w:val="32"/>
          <w:szCs w:val="32"/>
          <w:highlight w:val="none"/>
        </w:rPr>
      </w:pPr>
      <w:r>
        <w:rPr>
          <w:rFonts w:ascii="Times New Roman" w:hAnsi="Times New Roman" w:cs="Times New Roman"/>
          <w:bCs/>
          <w:color w:val="auto"/>
          <w:sz w:val="32"/>
          <w:szCs w:val="32"/>
          <w:highlight w:val="none"/>
        </w:rPr>
        <w:t>十二、关于国有资产占用情况说明</w:t>
      </w:r>
    </w:p>
    <w:p>
      <w:pPr>
        <w:pStyle w:val="3"/>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截至2024年12月31日，部门（单位）共有车辆</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辆，其中，副部（省）级及以上领导用车</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辆、主要负责人用车</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辆、机要通信用车</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辆、应急保障用车</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辆、执法执勤用车</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辆、特种专业技术用车</w:t>
      </w: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辆、离退休干部服务用车</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辆、其他用车</w:t>
      </w: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辆，其他用车主要是</w:t>
      </w:r>
      <w:r>
        <w:rPr>
          <w:rFonts w:hint="eastAsia" w:ascii="Times New Roman" w:hAnsi="Times New Roman" w:eastAsia="仿宋_GB2312"/>
          <w:color w:val="auto"/>
          <w:sz w:val="32"/>
          <w:szCs w:val="32"/>
          <w:highlight w:val="none"/>
          <w:lang w:eastAsia="zh-CN"/>
        </w:rPr>
        <w:t>单位职工执行公务用车</w:t>
      </w:r>
      <w:r>
        <w:rPr>
          <w:rFonts w:ascii="Times New Roman" w:hAnsi="Times New Roman" w:eastAsia="仿宋_GB2312" w:cs="Times New Roman"/>
          <w:color w:val="auto"/>
          <w:sz w:val="32"/>
          <w:szCs w:val="32"/>
          <w:highlight w:val="none"/>
        </w:rPr>
        <w:t>；单位价值100万元以上设备（不含车辆）</w:t>
      </w:r>
      <w:r>
        <w:rPr>
          <w:rFonts w:hint="eastAsia" w:ascii="Times New Roman" w:hAnsi="Times New Roman" w:eastAsia="仿宋_GB2312" w:cs="Times New Roman"/>
          <w:color w:val="auto"/>
          <w:sz w:val="32"/>
          <w:szCs w:val="32"/>
          <w:highlight w:val="none"/>
          <w:lang w:val="en-US" w:eastAsia="zh-CN"/>
        </w:rPr>
        <w:t>45</w:t>
      </w:r>
      <w:r>
        <w:rPr>
          <w:rFonts w:ascii="Times New Roman" w:hAnsi="Times New Roman" w:eastAsia="仿宋_GB2312" w:cs="Times New Roman"/>
          <w:color w:val="auto"/>
          <w:sz w:val="32"/>
          <w:szCs w:val="32"/>
          <w:highlight w:val="none"/>
        </w:rPr>
        <w:t>台（套）。</w:t>
      </w:r>
    </w:p>
    <w:p>
      <w:pPr>
        <w:pStyle w:val="3"/>
        <w:overflowPunct w:val="0"/>
        <w:autoSpaceDE/>
        <w:autoSpaceDN/>
        <w:spacing w:line="600" w:lineRule="exact"/>
        <w:ind w:firstLine="640" w:firstLineChars="200"/>
        <w:jc w:val="both"/>
        <w:rPr>
          <w:rFonts w:ascii="Times New Roman" w:hAnsi="Times New Roman" w:cs="Times New Roman"/>
          <w:bCs/>
          <w:color w:val="auto"/>
          <w:sz w:val="32"/>
          <w:szCs w:val="32"/>
          <w:highlight w:val="none"/>
        </w:rPr>
      </w:pPr>
      <w:r>
        <w:rPr>
          <w:rFonts w:ascii="Times New Roman" w:hAnsi="Times New Roman" w:cs="Times New Roman"/>
          <w:bCs/>
          <w:color w:val="auto"/>
          <w:sz w:val="32"/>
          <w:szCs w:val="32"/>
          <w:highlight w:val="none"/>
        </w:rPr>
        <w:t>十三、关于</w:t>
      </w:r>
      <w:r>
        <w:rPr>
          <w:rFonts w:ascii="Times New Roman" w:hAnsi="Times New Roman" w:eastAsia="仿宋_GB2312" w:cs="Times New Roman"/>
          <w:color w:val="auto"/>
          <w:sz w:val="32"/>
          <w:szCs w:val="32"/>
          <w:highlight w:val="none"/>
        </w:rPr>
        <w:t>2024</w:t>
      </w:r>
      <w:r>
        <w:rPr>
          <w:rFonts w:ascii="Times New Roman" w:hAnsi="Times New Roman" w:cs="Times New Roman"/>
          <w:bCs/>
          <w:color w:val="auto"/>
          <w:sz w:val="32"/>
          <w:szCs w:val="32"/>
          <w:highlight w:val="none"/>
        </w:rPr>
        <w:t>年度预算绩效情况的说明</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kern w:val="0"/>
          <w:sz w:val="32"/>
          <w:szCs w:val="32"/>
          <w:highlight w:val="none"/>
          <w:shd w:val="clear" w:color="auto" w:fill="auto"/>
        </w:rPr>
      </w:pPr>
      <w:r>
        <w:rPr>
          <w:rFonts w:ascii="Times New Roman" w:hAnsi="Times New Roman" w:eastAsia="楷体_GB2312" w:cs="Times New Roman"/>
          <w:b/>
          <w:bCs/>
          <w:sz w:val="32"/>
          <w:szCs w:val="32"/>
          <w:highlight w:val="none"/>
          <w:shd w:val="clear" w:color="auto" w:fill="auto"/>
        </w:rPr>
        <w:t>（一）绩效评价工作开展情况。</w:t>
      </w:r>
      <w:r>
        <w:rPr>
          <w:rFonts w:hint="eastAsia" w:ascii="Times New Roman" w:hAnsi="Times New Roman" w:eastAsia="楷体_GB2312" w:cs="Times New Roman"/>
          <w:b/>
          <w:bCs/>
          <w:sz w:val="32"/>
          <w:szCs w:val="32"/>
          <w:highlight w:val="none"/>
          <w:shd w:val="clear" w:color="auto" w:fill="auto"/>
          <w:lang w:val="en-US" w:eastAsia="zh-CN"/>
        </w:rPr>
        <w:t>本单位</w:t>
      </w:r>
      <w:r>
        <w:rPr>
          <w:rFonts w:ascii="Times New Roman" w:hAnsi="Times New Roman" w:eastAsia="仿宋_GB2312" w:cs="Times New Roman"/>
          <w:b/>
          <w:bCs/>
          <w:kern w:val="0"/>
          <w:sz w:val="32"/>
          <w:szCs w:val="32"/>
          <w:highlight w:val="none"/>
          <w:shd w:val="clear" w:color="auto" w:fill="auto"/>
        </w:rPr>
        <w:t>绩效自评开展情况</w:t>
      </w:r>
      <w:r>
        <w:rPr>
          <w:rFonts w:hint="eastAsia" w:ascii="Times New Roman" w:hAnsi="Times New Roman" w:eastAsia="仿宋_GB2312" w:cs="Times New Roman"/>
          <w:b/>
          <w:bCs/>
          <w:kern w:val="0"/>
          <w:sz w:val="32"/>
          <w:szCs w:val="32"/>
          <w:highlight w:val="none"/>
          <w:shd w:val="clear" w:color="auto" w:fill="auto"/>
          <w:lang w:val="en-US" w:eastAsia="zh-CN"/>
        </w:rPr>
        <w:t>如下：</w:t>
      </w:r>
      <w:r>
        <w:rPr>
          <w:rFonts w:ascii="Times New Roman" w:hAnsi="Times New Roman" w:eastAsia="仿宋_GB2312" w:cs="Times New Roman"/>
          <w:kern w:val="0"/>
          <w:sz w:val="32"/>
          <w:szCs w:val="32"/>
          <w:highlight w:val="none"/>
          <w:shd w:val="clear" w:color="auto" w:fill="auto"/>
        </w:rPr>
        <w:t>组织对2024年度本单位整体支出开展绩效自评，涉及项目</w:t>
      </w:r>
      <w:r>
        <w:rPr>
          <w:rFonts w:hint="eastAsia" w:ascii="Times New Roman" w:hAnsi="Times New Roman" w:eastAsia="仿宋_GB2312" w:cs="Times New Roman"/>
          <w:kern w:val="0"/>
          <w:sz w:val="32"/>
          <w:szCs w:val="32"/>
          <w:highlight w:val="none"/>
          <w:shd w:val="clear" w:color="auto" w:fill="auto"/>
          <w:lang w:val="en-US" w:eastAsia="zh-CN"/>
        </w:rPr>
        <w:t>5</w:t>
      </w:r>
      <w:r>
        <w:rPr>
          <w:rFonts w:ascii="Times New Roman" w:hAnsi="Times New Roman" w:eastAsia="仿宋_GB2312" w:cs="Times New Roman"/>
          <w:kern w:val="0"/>
          <w:sz w:val="32"/>
          <w:szCs w:val="32"/>
          <w:highlight w:val="none"/>
          <w:shd w:val="clear" w:color="auto" w:fill="auto"/>
        </w:rPr>
        <w:t xml:space="preserve"> 个，</w:t>
      </w:r>
      <w:r>
        <w:rPr>
          <w:rFonts w:ascii="Times New Roman" w:hAnsi="Times New Roman" w:eastAsia="仿宋_GB2312" w:cs="Times New Roman"/>
          <w:color w:val="auto"/>
          <w:kern w:val="0"/>
          <w:sz w:val="32"/>
          <w:szCs w:val="32"/>
          <w:highlight w:val="none"/>
          <w:shd w:val="clear" w:color="auto" w:fill="auto"/>
        </w:rPr>
        <w:t>共涉及资金</w:t>
      </w:r>
      <w:r>
        <w:rPr>
          <w:rFonts w:hint="eastAsia" w:ascii="Times New Roman" w:hAnsi="Times New Roman" w:eastAsia="仿宋_GB2312" w:cs="Times New Roman"/>
          <w:color w:val="auto"/>
          <w:kern w:val="0"/>
          <w:sz w:val="32"/>
          <w:szCs w:val="32"/>
          <w:highlight w:val="none"/>
          <w:shd w:val="clear" w:color="auto" w:fill="auto"/>
          <w:lang w:val="en-US" w:eastAsia="zh-CN"/>
        </w:rPr>
        <w:t>2228.65</w:t>
      </w:r>
      <w:r>
        <w:rPr>
          <w:rFonts w:ascii="Times New Roman" w:hAnsi="Times New Roman" w:eastAsia="仿宋_GB2312" w:cs="Times New Roman"/>
          <w:color w:val="auto"/>
          <w:kern w:val="0"/>
          <w:sz w:val="32"/>
          <w:szCs w:val="32"/>
          <w:highlight w:val="none"/>
          <w:shd w:val="clear" w:color="auto" w:fill="auto"/>
        </w:rPr>
        <w:t>万元。其中，一般公共预算项目</w:t>
      </w:r>
      <w:r>
        <w:rPr>
          <w:rFonts w:hint="eastAsia" w:ascii="Times New Roman" w:hAnsi="Times New Roman" w:eastAsia="仿宋_GB2312" w:cs="Times New Roman"/>
          <w:color w:val="auto"/>
          <w:kern w:val="0"/>
          <w:sz w:val="32"/>
          <w:szCs w:val="32"/>
          <w:highlight w:val="none"/>
          <w:shd w:val="clear" w:color="auto" w:fill="auto"/>
          <w:lang w:val="en-US" w:eastAsia="zh-CN"/>
        </w:rPr>
        <w:t>5</w:t>
      </w:r>
      <w:r>
        <w:rPr>
          <w:rFonts w:ascii="Times New Roman" w:hAnsi="Times New Roman" w:eastAsia="仿宋_GB2312" w:cs="Times New Roman"/>
          <w:color w:val="auto"/>
          <w:kern w:val="0"/>
          <w:sz w:val="32"/>
          <w:szCs w:val="32"/>
          <w:highlight w:val="none"/>
          <w:shd w:val="clear" w:color="auto" w:fill="auto"/>
        </w:rPr>
        <w:t>个</w:t>
      </w:r>
      <w:r>
        <w:rPr>
          <w:rFonts w:hint="eastAsia" w:ascii="Times New Roman" w:hAnsi="Times New Roman" w:eastAsia="仿宋_GB2312" w:cs="Times New Roman"/>
          <w:color w:val="auto"/>
          <w:kern w:val="0"/>
          <w:sz w:val="32"/>
          <w:szCs w:val="32"/>
          <w:highlight w:val="none"/>
          <w:shd w:val="clear" w:color="auto" w:fill="auto"/>
          <w:lang w:val="en-US" w:eastAsia="zh-CN"/>
        </w:rPr>
        <w:t>2228.65</w:t>
      </w:r>
      <w:r>
        <w:rPr>
          <w:rFonts w:ascii="Times New Roman" w:hAnsi="Times New Roman" w:eastAsia="仿宋_GB2312" w:cs="Times New Roman"/>
          <w:color w:val="auto"/>
          <w:kern w:val="0"/>
          <w:sz w:val="32"/>
          <w:szCs w:val="32"/>
          <w:highlight w:val="none"/>
          <w:shd w:val="clear" w:color="auto" w:fill="auto"/>
        </w:rPr>
        <w:t>万元，占一般公共预算支出总额的</w:t>
      </w:r>
      <w:r>
        <w:rPr>
          <w:rFonts w:hint="eastAsia" w:ascii="Times New Roman" w:hAnsi="Times New Roman" w:eastAsia="仿宋_GB2312" w:cs="Times New Roman"/>
          <w:color w:val="auto"/>
          <w:kern w:val="0"/>
          <w:sz w:val="32"/>
          <w:szCs w:val="32"/>
          <w:highlight w:val="none"/>
          <w:shd w:val="clear" w:color="auto" w:fill="auto"/>
          <w:lang w:val="en-US" w:eastAsia="zh-CN"/>
        </w:rPr>
        <w:t>83.52</w:t>
      </w:r>
      <w:r>
        <w:rPr>
          <w:rFonts w:ascii="Times New Roman" w:hAnsi="Times New Roman" w:eastAsia="仿宋_GB2312" w:cs="Times New Roman"/>
          <w:color w:val="auto"/>
          <w:kern w:val="0"/>
          <w:sz w:val="32"/>
          <w:szCs w:val="32"/>
          <w:highlight w:val="none"/>
          <w:shd w:val="clear" w:color="auto" w:fill="auto"/>
        </w:rPr>
        <w:t>%；</w:t>
      </w:r>
      <w:r>
        <w:rPr>
          <w:rFonts w:ascii="Times New Roman" w:hAnsi="Times New Roman" w:eastAsia="仿宋_GB2312" w:cs="Times New Roman"/>
          <w:kern w:val="0"/>
          <w:sz w:val="32"/>
          <w:szCs w:val="32"/>
          <w:highlight w:val="none"/>
          <w:shd w:val="clear" w:color="auto" w:fill="auto"/>
        </w:rPr>
        <w:t>政</w:t>
      </w:r>
      <w:bookmarkStart w:id="3" w:name="_GoBack"/>
      <w:bookmarkEnd w:id="3"/>
      <w:r>
        <w:rPr>
          <w:rFonts w:ascii="Times New Roman" w:hAnsi="Times New Roman" w:eastAsia="仿宋_GB2312" w:cs="Times New Roman"/>
          <w:kern w:val="0"/>
          <w:sz w:val="32"/>
          <w:szCs w:val="32"/>
          <w:highlight w:val="none"/>
          <w:shd w:val="clear" w:color="auto" w:fill="auto"/>
        </w:rPr>
        <w:t>府性基金预算项目</w:t>
      </w:r>
      <w:r>
        <w:rPr>
          <w:rFonts w:hint="eastAsia" w:ascii="Times New Roman" w:hAnsi="Times New Roman" w:eastAsia="仿宋_GB2312" w:cs="Times New Roman"/>
          <w:kern w:val="0"/>
          <w:sz w:val="32"/>
          <w:szCs w:val="32"/>
          <w:highlight w:val="none"/>
          <w:shd w:val="clear" w:color="auto" w:fill="auto"/>
          <w:lang w:val="en-US" w:eastAsia="zh-CN"/>
        </w:rPr>
        <w:t>0</w:t>
      </w:r>
      <w:r>
        <w:rPr>
          <w:rFonts w:ascii="Times New Roman" w:hAnsi="Times New Roman" w:eastAsia="仿宋_GB2312" w:cs="Times New Roman"/>
          <w:kern w:val="0"/>
          <w:sz w:val="32"/>
          <w:szCs w:val="32"/>
          <w:highlight w:val="none"/>
          <w:shd w:val="clear" w:color="auto" w:fill="auto"/>
        </w:rPr>
        <w:t xml:space="preserve"> 个</w:t>
      </w:r>
      <w:r>
        <w:rPr>
          <w:rFonts w:hint="eastAsia" w:ascii="Times New Roman" w:hAnsi="Times New Roman" w:eastAsia="仿宋_GB2312" w:cs="Times New Roman"/>
          <w:kern w:val="0"/>
          <w:sz w:val="32"/>
          <w:szCs w:val="32"/>
          <w:highlight w:val="none"/>
          <w:shd w:val="clear" w:color="auto" w:fill="auto"/>
          <w:lang w:val="en-US" w:eastAsia="zh-CN"/>
        </w:rPr>
        <w:t>0</w:t>
      </w:r>
      <w:r>
        <w:rPr>
          <w:rFonts w:ascii="Times New Roman" w:hAnsi="Times New Roman" w:eastAsia="仿宋_GB2312" w:cs="Times New Roman"/>
          <w:kern w:val="0"/>
          <w:sz w:val="32"/>
          <w:szCs w:val="32"/>
          <w:highlight w:val="none"/>
          <w:shd w:val="clear" w:color="auto" w:fill="auto"/>
        </w:rPr>
        <w:t>万元，占政府性基金预算支出总额的</w:t>
      </w:r>
      <w:r>
        <w:rPr>
          <w:rFonts w:hint="eastAsia" w:ascii="Times New Roman" w:hAnsi="Times New Roman" w:eastAsia="仿宋_GB2312" w:cs="Times New Roman"/>
          <w:kern w:val="0"/>
          <w:sz w:val="32"/>
          <w:szCs w:val="32"/>
          <w:highlight w:val="none"/>
          <w:shd w:val="clear" w:color="auto" w:fill="auto"/>
          <w:lang w:val="en-US" w:eastAsia="zh-CN"/>
        </w:rPr>
        <w:t>0</w:t>
      </w:r>
      <w:r>
        <w:rPr>
          <w:rFonts w:ascii="Times New Roman" w:hAnsi="Times New Roman" w:eastAsia="仿宋_GB2312" w:cs="Times New Roman"/>
          <w:kern w:val="0"/>
          <w:sz w:val="32"/>
          <w:szCs w:val="32"/>
          <w:highlight w:val="none"/>
          <w:shd w:val="clear" w:color="auto" w:fill="auto"/>
        </w:rPr>
        <w:t>%；国有资本经营预算项目</w:t>
      </w:r>
      <w:r>
        <w:rPr>
          <w:rFonts w:hint="eastAsia" w:ascii="Times New Roman" w:hAnsi="Times New Roman" w:eastAsia="仿宋_GB2312" w:cs="Times New Roman"/>
          <w:kern w:val="0"/>
          <w:sz w:val="32"/>
          <w:szCs w:val="32"/>
          <w:highlight w:val="none"/>
          <w:shd w:val="clear" w:color="auto" w:fill="auto"/>
          <w:lang w:val="en-US" w:eastAsia="zh-CN"/>
        </w:rPr>
        <w:t>0</w:t>
      </w:r>
      <w:r>
        <w:rPr>
          <w:rFonts w:ascii="Times New Roman" w:hAnsi="Times New Roman" w:eastAsia="仿宋_GB2312" w:cs="Times New Roman"/>
          <w:kern w:val="0"/>
          <w:sz w:val="32"/>
          <w:szCs w:val="32"/>
          <w:highlight w:val="none"/>
          <w:shd w:val="clear" w:color="auto" w:fill="auto"/>
        </w:rPr>
        <w:t xml:space="preserve"> 个</w:t>
      </w:r>
      <w:r>
        <w:rPr>
          <w:rFonts w:hint="eastAsia" w:ascii="Times New Roman" w:hAnsi="Times New Roman" w:eastAsia="仿宋_GB2312" w:cs="Times New Roman"/>
          <w:kern w:val="0"/>
          <w:sz w:val="32"/>
          <w:szCs w:val="32"/>
          <w:highlight w:val="none"/>
          <w:shd w:val="clear" w:color="auto" w:fill="auto"/>
          <w:lang w:val="en-US" w:eastAsia="zh-CN"/>
        </w:rPr>
        <w:t>0</w:t>
      </w:r>
      <w:r>
        <w:rPr>
          <w:rFonts w:ascii="Times New Roman" w:hAnsi="Times New Roman" w:eastAsia="仿宋_GB2312" w:cs="Times New Roman"/>
          <w:kern w:val="0"/>
          <w:sz w:val="32"/>
          <w:szCs w:val="32"/>
          <w:highlight w:val="none"/>
          <w:shd w:val="clear" w:color="auto" w:fill="auto"/>
        </w:rPr>
        <w:t xml:space="preserve"> 万元，占国有资本经营预算支出总额的</w:t>
      </w:r>
      <w:r>
        <w:rPr>
          <w:rFonts w:hint="eastAsia" w:ascii="Times New Roman" w:hAnsi="Times New Roman" w:eastAsia="仿宋_GB2312" w:cs="Times New Roman"/>
          <w:kern w:val="0"/>
          <w:sz w:val="32"/>
          <w:szCs w:val="32"/>
          <w:highlight w:val="none"/>
          <w:shd w:val="clear" w:color="auto" w:fill="auto"/>
          <w:lang w:val="en-US" w:eastAsia="zh-CN"/>
        </w:rPr>
        <w:t>0</w:t>
      </w:r>
      <w:r>
        <w:rPr>
          <w:rFonts w:ascii="Times New Roman" w:hAnsi="Times New Roman" w:eastAsia="仿宋_GB2312" w:cs="Times New Roman"/>
          <w:kern w:val="0"/>
          <w:sz w:val="32"/>
          <w:szCs w:val="32"/>
          <w:highlight w:val="none"/>
          <w:shd w:val="clear" w:color="auto" w:fill="auto"/>
        </w:rPr>
        <w:t>%；社会保险</w:t>
      </w:r>
      <w:r>
        <w:rPr>
          <w:rFonts w:hint="eastAsia" w:ascii="Times New Roman" w:hAnsi="Times New Roman" w:eastAsia="仿宋_GB2312" w:cs="Times New Roman"/>
          <w:kern w:val="0"/>
          <w:sz w:val="32"/>
          <w:szCs w:val="32"/>
          <w:highlight w:val="none"/>
          <w:shd w:val="clear" w:color="auto" w:fill="auto"/>
          <w:lang w:val="en-US" w:eastAsia="zh-CN"/>
        </w:rPr>
        <w:t>基金</w:t>
      </w:r>
      <w:r>
        <w:rPr>
          <w:rFonts w:ascii="Times New Roman" w:hAnsi="Times New Roman" w:eastAsia="仿宋_GB2312" w:cs="Times New Roman"/>
          <w:kern w:val="0"/>
          <w:sz w:val="32"/>
          <w:szCs w:val="32"/>
          <w:highlight w:val="none"/>
          <w:shd w:val="clear" w:color="auto" w:fill="auto"/>
        </w:rPr>
        <w:t>预算项目</w:t>
      </w:r>
      <w:r>
        <w:rPr>
          <w:rFonts w:hint="eastAsia" w:ascii="Times New Roman" w:hAnsi="Times New Roman" w:eastAsia="仿宋_GB2312" w:cs="Times New Roman"/>
          <w:kern w:val="0"/>
          <w:sz w:val="32"/>
          <w:szCs w:val="32"/>
          <w:highlight w:val="none"/>
          <w:shd w:val="clear" w:color="auto" w:fill="auto"/>
          <w:lang w:val="en-US" w:eastAsia="zh-CN"/>
        </w:rPr>
        <w:t>0</w:t>
      </w:r>
      <w:r>
        <w:rPr>
          <w:rFonts w:ascii="Times New Roman" w:hAnsi="Times New Roman" w:eastAsia="仿宋_GB2312" w:cs="Times New Roman"/>
          <w:kern w:val="0"/>
          <w:sz w:val="32"/>
          <w:szCs w:val="32"/>
          <w:highlight w:val="none"/>
          <w:shd w:val="clear" w:color="auto" w:fill="auto"/>
        </w:rPr>
        <w:t xml:space="preserve"> 个</w:t>
      </w:r>
      <w:r>
        <w:rPr>
          <w:rFonts w:hint="eastAsia" w:ascii="Times New Roman" w:hAnsi="Times New Roman" w:eastAsia="仿宋_GB2312" w:cs="Times New Roman"/>
          <w:kern w:val="0"/>
          <w:sz w:val="32"/>
          <w:szCs w:val="32"/>
          <w:highlight w:val="none"/>
          <w:shd w:val="clear" w:color="auto" w:fill="auto"/>
          <w:lang w:val="en-US" w:eastAsia="zh-CN"/>
        </w:rPr>
        <w:t>0</w:t>
      </w:r>
      <w:r>
        <w:rPr>
          <w:rFonts w:ascii="Times New Roman" w:hAnsi="Times New Roman" w:eastAsia="仿宋_GB2312" w:cs="Times New Roman"/>
          <w:kern w:val="0"/>
          <w:sz w:val="32"/>
          <w:szCs w:val="32"/>
          <w:highlight w:val="none"/>
          <w:shd w:val="clear" w:color="auto" w:fill="auto"/>
        </w:rPr>
        <w:t xml:space="preserve"> 万元，占社会保险基金预算支出总额的</w:t>
      </w:r>
      <w:r>
        <w:rPr>
          <w:rFonts w:hint="eastAsia" w:ascii="Times New Roman" w:hAnsi="Times New Roman" w:eastAsia="仿宋_GB2312" w:cs="Times New Roman"/>
          <w:kern w:val="0"/>
          <w:sz w:val="32"/>
          <w:szCs w:val="32"/>
          <w:highlight w:val="none"/>
          <w:shd w:val="clear" w:color="auto" w:fill="auto"/>
          <w:lang w:val="en-US" w:eastAsia="zh-CN"/>
        </w:rPr>
        <w:t>0</w:t>
      </w:r>
      <w:r>
        <w:rPr>
          <w:rFonts w:ascii="Times New Roman" w:hAnsi="Times New Roman" w:eastAsia="仿宋_GB2312" w:cs="Times New Roman"/>
          <w:kern w:val="0"/>
          <w:sz w:val="32"/>
          <w:szCs w:val="32"/>
          <w:highlight w:val="none"/>
          <w:shd w:val="clear" w:color="auto" w:fill="auto"/>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楷体_GB2312" w:cs="Times New Roman"/>
          <w:b/>
          <w:bCs/>
          <w:sz w:val="32"/>
          <w:szCs w:val="32"/>
          <w:highlight w:val="none"/>
          <w:shd w:val="clear" w:color="auto" w:fill="auto"/>
        </w:rPr>
      </w:pPr>
      <w:r>
        <w:rPr>
          <w:rFonts w:ascii="Times New Roman" w:hAnsi="Times New Roman" w:eastAsia="楷体_GB2312" w:cs="Times New Roman"/>
          <w:b/>
          <w:bCs/>
          <w:sz w:val="32"/>
          <w:szCs w:val="32"/>
          <w:highlight w:val="none"/>
          <w:shd w:val="clear" w:color="auto" w:fill="auto"/>
        </w:rPr>
        <w:t>（二）绩效评价结果。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shd w:val="clear" w:color="auto" w:fill="auto"/>
          <w:lang w:val="en-US" w:eastAsia="zh-CN"/>
        </w:rPr>
      </w:pPr>
      <w:r>
        <w:rPr>
          <w:rFonts w:ascii="Times New Roman" w:hAnsi="Times New Roman" w:eastAsia="仿宋_GB2312" w:cs="Times New Roman"/>
          <w:kern w:val="0"/>
          <w:sz w:val="32"/>
          <w:szCs w:val="32"/>
          <w:highlight w:val="none"/>
          <w:shd w:val="clear" w:color="auto" w:fill="auto"/>
        </w:rPr>
        <w:t>2024年度本部门（单位）整体支出</w:t>
      </w:r>
      <w:r>
        <w:rPr>
          <w:rFonts w:ascii="Times New Roman" w:hAnsi="Times New Roman" w:eastAsia="仿宋_GB2312" w:cs="Times New Roman"/>
          <w:sz w:val="32"/>
          <w:szCs w:val="32"/>
          <w:highlight w:val="none"/>
          <w:shd w:val="clear" w:color="auto" w:fill="auto"/>
        </w:rPr>
        <w:t>全年预算数</w:t>
      </w:r>
      <w:r>
        <w:rPr>
          <w:rFonts w:hint="eastAsia" w:ascii="Times New Roman" w:hAnsi="Times New Roman" w:eastAsia="仿宋_GB2312" w:cs="Times New Roman"/>
          <w:sz w:val="32"/>
          <w:szCs w:val="32"/>
          <w:highlight w:val="none"/>
          <w:shd w:val="clear" w:color="auto" w:fill="auto"/>
          <w:lang w:val="en-US" w:eastAsia="zh-CN"/>
        </w:rPr>
        <w:t>2228.65</w:t>
      </w:r>
      <w:r>
        <w:rPr>
          <w:rFonts w:ascii="Times New Roman" w:hAnsi="Times New Roman" w:eastAsia="仿宋_GB2312" w:cs="Times New Roman"/>
          <w:sz w:val="32"/>
          <w:szCs w:val="32"/>
          <w:highlight w:val="none"/>
          <w:shd w:val="clear" w:color="auto" w:fill="auto"/>
        </w:rPr>
        <w:t>万元，执行数</w:t>
      </w:r>
      <w:r>
        <w:rPr>
          <w:rFonts w:hint="eastAsia" w:ascii="Times New Roman" w:hAnsi="Times New Roman" w:eastAsia="仿宋_GB2312" w:cs="Times New Roman"/>
          <w:sz w:val="32"/>
          <w:szCs w:val="32"/>
          <w:highlight w:val="none"/>
          <w:shd w:val="clear" w:color="auto" w:fill="auto"/>
          <w:lang w:val="en-US" w:eastAsia="zh-CN"/>
        </w:rPr>
        <w:t>1905.14</w:t>
      </w:r>
      <w:r>
        <w:rPr>
          <w:rFonts w:ascii="Times New Roman" w:hAnsi="Times New Roman" w:eastAsia="仿宋_GB2312" w:cs="Times New Roman"/>
          <w:sz w:val="32"/>
          <w:szCs w:val="32"/>
          <w:highlight w:val="none"/>
          <w:shd w:val="clear" w:color="auto" w:fill="auto"/>
        </w:rPr>
        <w:t>万元，完成预算的</w:t>
      </w:r>
      <w:r>
        <w:rPr>
          <w:rFonts w:hint="eastAsia" w:ascii="Times New Roman" w:hAnsi="Times New Roman" w:eastAsia="仿宋_GB2312" w:cs="Times New Roman"/>
          <w:sz w:val="32"/>
          <w:szCs w:val="32"/>
          <w:highlight w:val="none"/>
          <w:shd w:val="clear" w:color="auto" w:fill="auto"/>
          <w:lang w:val="en-US" w:eastAsia="zh-CN"/>
        </w:rPr>
        <w:t>85.4</w:t>
      </w:r>
      <w:r>
        <w:rPr>
          <w:rFonts w:hint="eastAsia" w:ascii="原版宋体" w:hAnsi="原版宋体"/>
          <w:sz w:val="32"/>
          <w:szCs w:val="32"/>
          <w:highlight w:val="none"/>
          <w:lang w:val="en-US" w:eastAsia="zh-CN"/>
        </w:rPr>
        <w:t>8</w:t>
      </w:r>
      <w:r>
        <w:rPr>
          <w:rFonts w:hint="default" w:ascii="Times New Roman" w:hAnsi="Times New Roman" w:eastAsia="仿宋_GB2312" w:cs="Times New Roman"/>
          <w:kern w:val="0"/>
          <w:sz w:val="32"/>
          <w:szCs w:val="32"/>
          <w:highlight w:val="none"/>
          <w:shd w:val="clear" w:color="auto" w:fill="auto"/>
          <w:lang w:val="en-US" w:eastAsia="zh-CN"/>
        </w:rPr>
        <w:t>%，绩效自评得分</w:t>
      </w:r>
      <w:r>
        <w:rPr>
          <w:rFonts w:hint="eastAsia" w:ascii="Times New Roman" w:hAnsi="Times New Roman" w:eastAsia="仿宋_GB2312" w:cs="Times New Roman"/>
          <w:kern w:val="0"/>
          <w:sz w:val="32"/>
          <w:szCs w:val="32"/>
          <w:highlight w:val="none"/>
          <w:shd w:val="clear" w:color="auto" w:fill="auto"/>
          <w:lang w:val="en-US" w:eastAsia="zh-CN"/>
        </w:rPr>
        <w:t>88.5</w:t>
      </w:r>
      <w:r>
        <w:rPr>
          <w:rFonts w:hint="default" w:ascii="Times New Roman" w:hAnsi="Times New Roman" w:eastAsia="仿宋_GB2312" w:cs="Times New Roman"/>
          <w:kern w:val="0"/>
          <w:sz w:val="32"/>
          <w:szCs w:val="32"/>
          <w:highlight w:val="none"/>
          <w:shd w:val="clear" w:color="auto" w:fill="auto"/>
          <w:lang w:val="en-US" w:eastAsia="zh-CN"/>
        </w:rPr>
        <w:t>分，</w:t>
      </w:r>
      <w:r>
        <w:rPr>
          <w:rFonts w:hint="default" w:ascii="Times New Roman" w:hAnsi="Times New Roman" w:eastAsia="仿宋_GB2312" w:cs="Times New Roman"/>
          <w:color w:val="auto"/>
          <w:kern w:val="0"/>
          <w:sz w:val="32"/>
          <w:szCs w:val="32"/>
          <w:highlight w:val="none"/>
          <w:shd w:val="clear" w:color="auto" w:fill="auto"/>
          <w:lang w:val="en-US" w:eastAsia="zh-CN"/>
        </w:rPr>
        <w:t>评价等级为“</w:t>
      </w:r>
      <w:r>
        <w:rPr>
          <w:rFonts w:hint="eastAsia" w:ascii="Times New Roman" w:hAnsi="Times New Roman" w:eastAsia="仿宋_GB2312" w:cs="Times New Roman"/>
          <w:color w:val="auto"/>
          <w:kern w:val="0"/>
          <w:sz w:val="32"/>
          <w:szCs w:val="32"/>
          <w:highlight w:val="none"/>
          <w:shd w:val="clear" w:color="auto" w:fill="auto"/>
          <w:lang w:val="en-US" w:eastAsia="zh-CN"/>
        </w:rPr>
        <w:t>良</w:t>
      </w:r>
      <w:r>
        <w:rPr>
          <w:rFonts w:hint="default" w:ascii="Times New Roman" w:hAnsi="Times New Roman" w:eastAsia="仿宋_GB2312" w:cs="Times New Roman"/>
          <w:color w:val="auto"/>
          <w:kern w:val="0"/>
          <w:sz w:val="32"/>
          <w:szCs w:val="32"/>
          <w:highlight w:val="none"/>
          <w:shd w:val="clear" w:color="auto" w:fill="auto"/>
          <w:lang w:val="en-US" w:eastAsia="zh-CN"/>
        </w:rPr>
        <w:t>”</w:t>
      </w:r>
      <w:r>
        <w:rPr>
          <w:rFonts w:hint="default" w:ascii="Times New Roman" w:hAnsi="Times New Roman" w:eastAsia="仿宋_GB2312" w:cs="Times New Roman"/>
          <w:kern w:val="0"/>
          <w:sz w:val="32"/>
          <w:szCs w:val="32"/>
          <w:highlight w:val="none"/>
          <w:shd w:val="clear" w:color="auto" w:fill="auto"/>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0"/>
          <w:sz w:val="32"/>
          <w:szCs w:val="32"/>
          <w:highlight w:val="none"/>
          <w:shd w:val="clear" w:color="auto" w:fill="auto"/>
          <w:lang w:val="en-US" w:eastAsia="zh-CN"/>
        </w:rPr>
      </w:pPr>
      <w:r>
        <w:rPr>
          <w:rFonts w:hint="default" w:ascii="Times New Roman" w:hAnsi="Times New Roman" w:eastAsia="仿宋_GB2312" w:cs="Times New Roman"/>
          <w:kern w:val="0"/>
          <w:sz w:val="32"/>
          <w:szCs w:val="32"/>
          <w:highlight w:val="none"/>
          <w:shd w:val="clear" w:color="auto" w:fill="auto"/>
          <w:lang w:val="en-US" w:eastAsia="zh-CN"/>
        </w:rPr>
        <w:t>绩效目标完成情况：</w:t>
      </w:r>
      <w:r>
        <w:rPr>
          <w:rFonts w:hint="eastAsia" w:ascii="Times New Roman" w:hAnsi="Times New Roman" w:eastAsia="仿宋_GB2312" w:cs="Times New Roman"/>
          <w:kern w:val="0"/>
          <w:sz w:val="32"/>
          <w:szCs w:val="32"/>
          <w:highlight w:val="none"/>
          <w:shd w:val="clear" w:color="auto" w:fill="auto"/>
          <w:lang w:val="en-US" w:eastAsia="zh-CN"/>
        </w:rPr>
        <w:t>产出指标中，门诊人次、出院人次、病床使用率、医疗服务收入占比均已达标；满意度指标已达标；效益指标中门诊患者次均医药费用、药占比(不含中药饮片)、提升医疗服务质量、实现年度收支平衡等指标已达标，但住院患者次均医药费用、</w:t>
      </w:r>
      <w:r>
        <w:rPr>
          <w:rFonts w:hint="default" w:ascii="Times New Roman" w:hAnsi="Times New Roman" w:eastAsia="仿宋_GB2312" w:cs="Times New Roman"/>
          <w:kern w:val="0"/>
          <w:sz w:val="32"/>
          <w:szCs w:val="32"/>
          <w:highlight w:val="none"/>
          <w:shd w:val="clear" w:color="auto" w:fill="auto"/>
          <w:lang w:val="en-US" w:eastAsia="zh-CN"/>
        </w:rPr>
        <w:t>百元医疗收入（不含药品收入）中消耗的卫生材料(元)</w:t>
      </w:r>
      <w:r>
        <w:rPr>
          <w:rFonts w:hint="eastAsia" w:ascii="Times New Roman" w:hAnsi="Times New Roman" w:eastAsia="仿宋_GB2312" w:cs="Times New Roman"/>
          <w:kern w:val="0"/>
          <w:sz w:val="32"/>
          <w:szCs w:val="32"/>
          <w:highlight w:val="none"/>
          <w:shd w:val="clear" w:color="auto" w:fill="auto"/>
          <w:lang w:val="en-US" w:eastAsia="zh-CN"/>
        </w:rPr>
        <w:t>未达预期。</w:t>
      </w:r>
    </w:p>
    <w:p>
      <w:pPr>
        <w:widowControl/>
        <w:spacing w:line="540" w:lineRule="exact"/>
        <w:ind w:firstLine="640"/>
        <w:jc w:val="left"/>
        <w:rPr>
          <w:rFonts w:hint="eastAsia" w:ascii="Times New Roman" w:hAnsi="Times New Roman" w:eastAsia="仿宋_GB2312" w:cs="Times New Roman"/>
          <w:kern w:val="0"/>
          <w:sz w:val="32"/>
          <w:szCs w:val="32"/>
          <w:highlight w:val="none"/>
          <w:shd w:val="clear" w:color="auto" w:fill="auto"/>
          <w:lang w:val="en-US" w:eastAsia="zh-CN" w:bidi="ar-SA"/>
        </w:rPr>
      </w:pPr>
      <w:r>
        <w:rPr>
          <w:rFonts w:hint="default" w:ascii="Times New Roman" w:hAnsi="Times New Roman" w:eastAsia="仿宋_GB2312" w:cs="Times New Roman"/>
          <w:kern w:val="0"/>
          <w:sz w:val="32"/>
          <w:szCs w:val="32"/>
          <w:highlight w:val="none"/>
          <w:shd w:val="clear" w:color="auto" w:fill="auto"/>
          <w:lang w:val="en-US" w:eastAsia="zh-CN"/>
        </w:rPr>
        <w:t>下一步改进措施：</w:t>
      </w:r>
      <w:r>
        <w:rPr>
          <w:rFonts w:hint="eastAsia" w:ascii="Times New Roman" w:hAnsi="Times New Roman" w:eastAsia="仿宋_GB2312" w:cs="Times New Roman"/>
          <w:kern w:val="0"/>
          <w:sz w:val="32"/>
          <w:szCs w:val="32"/>
          <w:highlight w:val="none"/>
          <w:shd w:val="clear" w:color="auto" w:fill="auto"/>
          <w:lang w:val="en-US" w:eastAsia="zh-CN" w:bidi="ar-SA"/>
        </w:rPr>
        <w:t>加强数据监控与分析，及时查看预算执行情况，并及时反馈给相关责任科室，督促相关科室加快预算执行进度，对于已执行完毕的项目，及时报销付款，严格执行财务制度和审计制度，切实提高财政资金使用效益。</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0"/>
          <w:sz w:val="32"/>
          <w:szCs w:val="32"/>
          <w:highlight w:val="none"/>
          <w:shd w:val="clear" w:color="auto" w:fill="auto"/>
          <w:lang w:val="en-US" w:eastAsia="zh-CN"/>
        </w:rPr>
      </w:pPr>
    </w:p>
    <w:p>
      <w:pPr>
        <w:pStyle w:val="3"/>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highlight w:val="none"/>
          <w:shd w:val="clear" w:color="auto" w:fill="auto"/>
        </w:rPr>
      </w:pPr>
    </w:p>
    <w:p>
      <w:pPr>
        <w:pStyle w:val="3"/>
        <w:overflowPunct w:val="0"/>
        <w:autoSpaceDE/>
        <w:autoSpaceDN/>
        <w:spacing w:line="600" w:lineRule="exact"/>
        <w:ind w:firstLine="640" w:firstLineChars="200"/>
        <w:jc w:val="both"/>
        <w:rPr>
          <w:rFonts w:hint="default" w:ascii="Times New Roman" w:hAnsi="Times New Roman" w:eastAsia="仿宋_GB2312" w:cs="Times New Roman"/>
          <w:kern w:val="0"/>
          <w:sz w:val="32"/>
          <w:szCs w:val="32"/>
          <w:highlight w:val="none"/>
          <w:shd w:val="clear" w:color="auto" w:fill="auto"/>
          <w:lang w:val="en-US" w:eastAsia="zh-CN" w:bidi="ar-SA"/>
        </w:rPr>
      </w:pPr>
      <w:r>
        <w:rPr>
          <w:rFonts w:ascii="Times New Roman" w:hAnsi="Times New Roman" w:eastAsia="楷体_GB2312" w:cs="Times New Roman"/>
          <w:b/>
          <w:bCs/>
          <w:color w:val="auto"/>
          <w:kern w:val="2"/>
          <w:sz w:val="32"/>
          <w:szCs w:val="32"/>
          <w:highlight w:val="none"/>
          <w:shd w:val="clear" w:color="auto" w:fill="auto"/>
        </w:rPr>
        <w:t>（三）评价结果应用情况。</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shd w:val="clear" w:color="auto" w:fill="auto"/>
          <w:lang w:val="en-US" w:eastAsia="zh-CN" w:bidi="ar-SA"/>
        </w:rPr>
      </w:pPr>
      <w:r>
        <w:rPr>
          <w:rFonts w:hint="eastAsia" w:ascii="Times New Roman" w:hAnsi="Times New Roman" w:eastAsia="仿宋_GB2312" w:cs="Times New Roman"/>
          <w:kern w:val="0"/>
          <w:sz w:val="32"/>
          <w:szCs w:val="32"/>
          <w:highlight w:val="none"/>
          <w:shd w:val="clear" w:color="auto" w:fill="auto"/>
          <w:lang w:val="en-US" w:eastAsia="zh-CN" w:bidi="ar-SA"/>
        </w:rPr>
        <w:t>1.精细化预算编制。结合医院发展规划，科学编制预算，细化资金用途。通过提前规划年度重点任务，优先保障人才队伍建设、学科建设、质量与安全等核心领域。</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0"/>
          <w:sz w:val="32"/>
          <w:szCs w:val="32"/>
          <w:highlight w:val="none"/>
          <w:shd w:val="clear" w:color="auto" w:fill="auto"/>
          <w:lang w:val="en-US" w:eastAsia="zh-CN" w:bidi="ar-SA"/>
        </w:rPr>
      </w:pPr>
      <w:r>
        <w:rPr>
          <w:rFonts w:hint="eastAsia" w:ascii="Times New Roman" w:hAnsi="Times New Roman" w:eastAsia="仿宋_GB2312" w:cs="Times New Roman"/>
          <w:kern w:val="0"/>
          <w:sz w:val="32"/>
          <w:szCs w:val="32"/>
          <w:highlight w:val="none"/>
          <w:shd w:val="clear" w:color="auto" w:fill="auto"/>
          <w:lang w:val="en-US" w:eastAsia="zh-CN" w:bidi="ar-SA"/>
        </w:rPr>
        <w:t>2.引入信息化工具。医院HRP财务一体化信息系统中引入了专项经费管理模块，对专项资金到账管理、经费分配、立项管理、执行管理等环节实时监控，避免超支或挪用。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shd w:val="clear" w:color="auto" w:fill="auto"/>
          <w:lang w:val="en-US" w:eastAsia="zh-CN" w:bidi="ar-SA"/>
        </w:rPr>
      </w:pPr>
      <w:r>
        <w:rPr>
          <w:rFonts w:hint="eastAsia" w:ascii="Times New Roman" w:hAnsi="Times New Roman" w:eastAsia="仿宋_GB2312" w:cs="Times New Roman"/>
          <w:kern w:val="0"/>
          <w:sz w:val="32"/>
          <w:szCs w:val="32"/>
          <w:highlight w:val="none"/>
          <w:shd w:val="clear" w:color="auto" w:fill="auto"/>
          <w:lang w:val="en-US" w:eastAsia="zh-CN" w:bidi="ar-SA"/>
        </w:rPr>
        <w:t>3.建立专项台账，实时动态跟踪，指定专人核查资金使用进度，及时整改问题。</w:t>
      </w:r>
    </w:p>
    <w:p>
      <w:pPr>
        <w:pStyle w:val="3"/>
        <w:jc w:val="center"/>
        <w:rPr>
          <w:rFonts w:ascii="Times New Roman" w:hAnsi="Times New Roman" w:cs="Times New Roman"/>
          <w:sz w:val="72"/>
          <w:szCs w:val="72"/>
          <w:highlight w:val="none"/>
        </w:rPr>
      </w:pPr>
    </w:p>
    <w:p>
      <w:pPr>
        <w:pStyle w:val="3"/>
        <w:spacing w:line="360" w:lineRule="auto"/>
        <w:jc w:val="center"/>
        <w:rPr>
          <w:rFonts w:hint="eastAsia" w:ascii="Times New Roman" w:hAnsi="Times New Roman" w:eastAsia="仿宋_GB2312" w:cs="黑体"/>
          <w:color w:val="auto"/>
          <w:kern w:val="0"/>
          <w:sz w:val="32"/>
          <w:szCs w:val="32"/>
          <w:highlight w:val="none"/>
          <w:lang w:val="en-US" w:eastAsia="zh-CN" w:bidi="ar-SA"/>
        </w:rPr>
      </w:pPr>
      <w:r>
        <w:rPr>
          <w:rFonts w:ascii="Times New Roman" w:hAnsi="Times New Roman" w:eastAsia="方正小标宋_GBK" w:cs="Times New Roman"/>
          <w:sz w:val="52"/>
          <w:szCs w:val="52"/>
          <w:highlight w:val="none"/>
        </w:rPr>
        <w:t>第四部分    名词解释</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一、“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二、机关运行经费：是指各部门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三、事业收入：是指单位开展医教研等业务活动及辅助活动所取得的收入，不包括从同级政府财政部门取得的各类财政拨款。</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四、基本支出：为保障机构正常运转、完成日常工作任务而发生的各项支出。</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五、项目支出：为完成特定的行政工作任务或事业发展目标，在基本支出之外发生的各项支出。</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六、重大公共卫生服务：反映重大疾病、重大传染病预防控制等重大公共卫生服务项目支出。 </w:t>
      </w:r>
    </w:p>
    <w:p>
      <w:pPr>
        <w:pStyle w:val="3"/>
        <w:jc w:val="center"/>
        <w:rPr>
          <w:rFonts w:ascii="Times New Roman" w:hAnsi="Times New Roman" w:cs="Times New Roman"/>
          <w:sz w:val="72"/>
          <w:szCs w:val="72"/>
          <w:highlight w:val="none"/>
        </w:rPr>
      </w:pPr>
    </w:p>
    <w:p>
      <w:pPr>
        <w:pStyle w:val="3"/>
        <w:spacing w:line="360" w:lineRule="auto"/>
        <w:jc w:val="center"/>
        <w:rPr>
          <w:rFonts w:ascii="Times New Roman" w:hAnsi="Times New Roman" w:eastAsia="方正小标宋_GBK" w:cs="Times New Roman"/>
          <w:sz w:val="52"/>
          <w:szCs w:val="52"/>
          <w:highlight w:val="none"/>
        </w:rPr>
      </w:pPr>
      <w:r>
        <w:rPr>
          <w:rFonts w:ascii="Times New Roman" w:hAnsi="Times New Roman" w:eastAsia="方正小标宋_GBK" w:cs="Times New Roman"/>
          <w:sz w:val="52"/>
          <w:szCs w:val="52"/>
          <w:highlight w:val="none"/>
        </w:rPr>
        <w:t>第五部分   附 件</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附件1</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 xml:space="preserve">     </w:t>
      </w:r>
      <w:r>
        <w:rPr>
          <w:rFonts w:hint="eastAsia" w:ascii="Times New Roman" w:hAnsi="Times New Roman" w:eastAsia="仿宋_GB2312" w:cs="黑体"/>
          <w:color w:val="auto"/>
          <w:kern w:val="0"/>
          <w:sz w:val="32"/>
          <w:szCs w:val="32"/>
          <w:highlight w:val="none"/>
          <w:lang w:val="en" w:eastAsia="zh-CN" w:bidi="ar-SA"/>
        </w:rPr>
        <w:t>2024年</w:t>
      </w:r>
      <w:r>
        <w:rPr>
          <w:rFonts w:hint="eastAsia" w:ascii="Times New Roman" w:hAnsi="Times New Roman" w:eastAsia="仿宋_GB2312" w:cs="黑体"/>
          <w:color w:val="auto"/>
          <w:kern w:val="0"/>
          <w:sz w:val="32"/>
          <w:szCs w:val="32"/>
          <w:highlight w:val="none"/>
          <w:lang w:val="en-US" w:eastAsia="zh-CN" w:bidi="ar-SA"/>
        </w:rPr>
        <w:t>度省级</w:t>
      </w:r>
      <w:r>
        <w:rPr>
          <w:rFonts w:hint="default" w:ascii="Times New Roman" w:hAnsi="Times New Roman" w:eastAsia="仿宋_GB2312" w:cs="黑体"/>
          <w:color w:val="auto"/>
          <w:kern w:val="0"/>
          <w:sz w:val="32"/>
          <w:szCs w:val="32"/>
          <w:highlight w:val="none"/>
          <w:lang w:val="en" w:eastAsia="zh-CN" w:bidi="ar-SA"/>
        </w:rPr>
        <w:t>专项资金绩效</w:t>
      </w:r>
      <w:r>
        <w:rPr>
          <w:rFonts w:hint="eastAsia" w:ascii="Times New Roman" w:hAnsi="Times New Roman" w:eastAsia="仿宋_GB2312" w:cs="黑体"/>
          <w:color w:val="auto"/>
          <w:kern w:val="0"/>
          <w:sz w:val="32"/>
          <w:szCs w:val="32"/>
          <w:highlight w:val="none"/>
          <w:lang w:val="en-US" w:eastAsia="zh-CN" w:bidi="ar-SA"/>
        </w:rPr>
        <w:t>自评报告</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一、基本情况</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（一）项目概况</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1.项目背景</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为深化公立医院综合改革，推动高质量发展，我院获批2024年度省级专项资金支持，聚焦省属公立医院综合改革、助理全科医生培训、省属公立医院修缮和设备购置及基层服务能力提升等领域，旨在优化医疗服务结构，提高诊疗效率，并强化区域医疗协同作用。</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2.主要内容及实施情况</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（1）省属公立医院综合改革：深化医院综合改革，建立健全现代医院管理制度，协调推进医院价格、人事薪酬、药品流通，提高医疗卫生服务质量。</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（2）助理全科医生培训：培养合格的助理全科医生。</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（3）省属公立医院修缮和设备购置：减少漏诊和误诊，促进我院诊疗水平发展，减少病人的流失，提升我院整体医疗科研水平。</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（4）创新型省份建设：完成视频制作，利用新媒体进行传播推广；在中小学进行展播，开展线下宣教活动，提升儿童青少年自救能力。</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3.资金投入与使用</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（1）专项资金总额：683.5万元（省级财政拨款）</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2）执行情况：全年执行数359.99万元，执行率56.67%。其中：省属公立医院综合改革55万元，占比15.28%；助理全科医生培训0万元，占比0%；省属公立医院修缮和设备购置300万元，占比83.34%；创新型省份建设4.99万元，占比1.39%。</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（二）项目绩效目标</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深化医院综合改革，建立健全现代医院管理制度，协调推进医院价格、人事薪酬、药品流通，提高医疗卫生服务质量；培养合格的助理全科医生；减少漏诊和误诊，促进我院诊疗水平发展，减少病人的流失，提升我院整体医疗科研水平；视频制作已完成，线上播放点击量10万+；联合教育局在全市各中小学进行视频展播，并同步开展线下急救培训活动。</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二、绩效评价工作开展情况</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（一）绩效评价目的、对象和范围</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1.目的：评价资金使用规范性、目标完成度及社会效益。</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2.对象。专项资金涉及的省属公立医院综合改革、助理全科医生培训、省属公立医院修缮和设备购置、创新型省份建设等项目。</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3.范围。2024年1月至12月资金执行全流程。</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（二）绩效评价原则、评价指标体系（附表说明）、评价方法、评价标准等。</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1.原则：遵循“科学性、客观性、可操作性”，结合定量（如执行率）与定性（如患者满意度）指标。</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2.指标体系：</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（1）资金下达与执行（10%）：年初预算数、全年预算数、全年执行数、执行率；</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（2）产出指标（50%）：数量指标、质量指标、时效指标、成本指标；</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（3）效益指标（30%）：经济效益指标、社会效益指标、生态效益指标、可持续影响指标；</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（4）满意度指标（10%）：服务对象满意度指标。</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3.方法：</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采用数据比对、现场核查、问卷调查及院内评审等方法。</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（三）绩效评价工作过程。</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1.加强组织领导。成立单位领导牵头，各部门参与，财务部牵头的工作专班，明确评价工作要求与职责分工、完成时间，组织开展评价工作。</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2.开展评价。召开评价工作部署会，宣读评价工作通知，培训指导评价工作，各部门自评，财务部审核、汇总，形成自评报告，报单位领导审定。</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三、综合评价情况及评价结论（附相关评分表）</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综合得分：88.5分。</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结论：产出指标中，门诊人次、出院人次、病床使用率、医疗服务收入占比均已达标；满意度指标已达标；效益指标中门诊患者次均医药费用、药占比(不含中药饮片)、提升医疗服务质量、实现年度收支平衡等指标已达标，但住院患者次均医药费用、</w:t>
      </w:r>
      <w:r>
        <w:rPr>
          <w:rFonts w:hint="default" w:ascii="Times New Roman" w:hAnsi="Times New Roman" w:eastAsia="仿宋_GB2312" w:cs="黑体"/>
          <w:color w:val="auto"/>
          <w:kern w:val="0"/>
          <w:sz w:val="32"/>
          <w:szCs w:val="32"/>
          <w:highlight w:val="none"/>
          <w:lang w:val="en-US" w:eastAsia="zh-CN" w:bidi="ar-SA"/>
        </w:rPr>
        <w:t>百元医疗收入（不含药品收入）中消耗的卫生材料(元)</w:t>
      </w:r>
      <w:r>
        <w:rPr>
          <w:rFonts w:hint="eastAsia" w:ascii="Times New Roman" w:hAnsi="Times New Roman" w:eastAsia="仿宋_GB2312" w:cs="黑体"/>
          <w:color w:val="auto"/>
          <w:kern w:val="0"/>
          <w:sz w:val="32"/>
          <w:szCs w:val="32"/>
          <w:highlight w:val="none"/>
          <w:lang w:val="en-US" w:eastAsia="zh-CN" w:bidi="ar-SA"/>
        </w:rPr>
        <w:t>未达预期。</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四、绩效评价指标分析</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（一）项目决策情况。按照“三重一大”决策制度，对涉及重大项目安排、大额资金使用等进行集体决策，决策程序规范、合规，实现项目资金决策的科学化、民主化。</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二）项目过程情况。一是资金管理，符合财经法规和有关专项资金管理办法，医疗保障与服务能力提升补助资金作为项目资金管理，资金拨付有财政审批，支付环节由财务人员、分管领导和主要负责人层层审核，专款专用，并统一按照财务管理要求进行财务核算，未发生截留、挤占、挪用、虚列支出等情况。二是组织管理，我院严格按照专项资金管理要求，所有专项资金全部纳入绩效管理，一个年度结束后开展绩效自评工作。</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（三）项目产出情况。（1）数量指标。2024年门诊人次29.72万人，同比增长32.78%；住院人次2.77万人，同比增长6.6%。（2）质量指标。病床使用率83.72%，同比增长7.64%；医疗服务收入占比35.76%，同比增长1.17%。</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四）项目效益情况。（1）经济效益指标。门诊患者次均医药费用310元，同比下降2.14%；住院患者次均医药费用9694元，同比增长0.58%；药占比(不含中药饮片)21.94%，同比下降0.39%；百元医疗收入（不含药品收入）中消耗的卫生材料20.08元，同比增长0.78元。（2）社会效益指标。医疗服务水平逐步提升。（3）可持续影响指标。2024年度收支结余为正数。</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五、主要经验及做法、存在的问题及原因分析</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（一）经验与做法</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1.精细化预算编制。结合医院发展规划，科学编制预算，细化资金用途。通过提前规划年度重点任务，优先保障人才队伍建设、学科建设、质量与安全等核心领域。</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2.引入信息化工具。医院HRP财务一体化信息系统中引入了专项经费管理模块，对专项资金到账管理、经费分配、立项管理、执行管理等环节实时监控，避免超支或挪用。</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3.建立专项台账，实时动态跟踪，指定专人核查资金使用进度，及时整改问题。</w:t>
      </w:r>
    </w:p>
    <w:p>
      <w:pPr>
        <w:keepNext w:val="0"/>
        <w:keepLines w:val="0"/>
        <w:pageBreakBefore w:val="0"/>
        <w:widowControl/>
        <w:kinsoku/>
        <w:wordWrap/>
        <w:overflowPunct/>
        <w:topLinePunct w:val="0"/>
        <w:bidi w:val="0"/>
        <w:snapToGrid/>
        <w:spacing w:line="240" w:lineRule="auto"/>
        <w:ind w:firstLine="660"/>
        <w:textAlignment w:val="auto"/>
        <w:outlineLvl w:val="9"/>
        <w:rPr>
          <w:rFonts w:hint="default"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（二）问题与原因</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因部分省级专项资金指标于年底下发，以及部分项目已完成但项目负责人未及时报账，导致预算执行进度缓慢，执行率仅56.67%。</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六、有关建议</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无</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七、其他需要说明的问题</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Times New Roman" w:hAnsi="Times New Roman" w:eastAsia="仿宋_GB2312" w:cs="黑体"/>
          <w:color w:val="auto"/>
          <w:kern w:val="0"/>
          <w:sz w:val="32"/>
          <w:szCs w:val="32"/>
          <w:highlight w:val="none"/>
          <w:lang w:val="en-US" w:eastAsia="zh-CN" w:bidi="ar-SA"/>
        </w:rPr>
        <w:t>无。</w:t>
      </w: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p>
    <w:p>
      <w:pPr>
        <w:widowControl/>
        <w:spacing w:after="0" w:afterLines="0" w:line="400" w:lineRule="exact"/>
        <w:jc w:val="left"/>
        <w:rPr>
          <w:rFonts w:hint="default" w:ascii="原版宋体" w:hAnsi="原版宋体" w:eastAsia="黑体" w:cs="Times New Roman"/>
          <w:sz w:val="32"/>
          <w:szCs w:val="32"/>
          <w:highlight w:val="none"/>
        </w:rPr>
      </w:pPr>
    </w:p>
    <w:p>
      <w:pPr>
        <w:widowControl/>
        <w:spacing w:after="0" w:afterLines="0" w:line="400" w:lineRule="exact"/>
        <w:jc w:val="left"/>
        <w:rPr>
          <w:rFonts w:hint="default" w:ascii="原版宋体" w:hAnsi="原版宋体" w:eastAsia="黑体" w:cs="Times New Roman"/>
          <w:sz w:val="32"/>
          <w:szCs w:val="32"/>
          <w:highlight w:val="none"/>
        </w:rPr>
      </w:pPr>
    </w:p>
    <w:p>
      <w:pPr>
        <w:widowControl/>
        <w:spacing w:after="0" w:afterLines="0" w:line="400" w:lineRule="exact"/>
        <w:jc w:val="left"/>
        <w:rPr>
          <w:rFonts w:hint="default" w:ascii="原版宋体" w:hAnsi="原版宋体" w:eastAsia="黑体" w:cs="Times New Roman"/>
          <w:sz w:val="32"/>
          <w:szCs w:val="32"/>
          <w:highlight w:val="none"/>
        </w:rPr>
      </w:pPr>
    </w:p>
    <w:p>
      <w:pPr>
        <w:widowControl/>
        <w:spacing w:after="0" w:afterLines="0" w:line="400" w:lineRule="exact"/>
        <w:jc w:val="left"/>
        <w:rPr>
          <w:rFonts w:hint="default" w:ascii="原版宋体" w:hAnsi="原版宋体" w:eastAsia="黑体" w:cs="Times New Roman"/>
          <w:sz w:val="32"/>
          <w:szCs w:val="32"/>
          <w:highlight w:val="none"/>
        </w:rPr>
      </w:pPr>
    </w:p>
    <w:p>
      <w:pPr>
        <w:widowControl/>
        <w:spacing w:after="0" w:afterLines="0" w:line="400" w:lineRule="exact"/>
        <w:jc w:val="left"/>
        <w:rPr>
          <w:rFonts w:hint="default" w:ascii="原版宋体" w:hAnsi="原版宋体" w:eastAsia="黑体" w:cs="Times New Roman"/>
          <w:sz w:val="32"/>
          <w:szCs w:val="32"/>
          <w:highlight w:val="none"/>
        </w:rPr>
      </w:pPr>
    </w:p>
    <w:p>
      <w:pPr>
        <w:widowControl/>
        <w:spacing w:after="0" w:afterLines="0" w:line="400" w:lineRule="exact"/>
        <w:jc w:val="left"/>
        <w:rPr>
          <w:rFonts w:hint="default" w:ascii="原版宋体" w:hAnsi="原版宋体" w:eastAsia="黑体" w:cs="Times New Roman"/>
          <w:sz w:val="32"/>
          <w:szCs w:val="32"/>
          <w:highlight w:val="none"/>
        </w:rPr>
      </w:pPr>
    </w:p>
    <w:p>
      <w:pPr>
        <w:widowControl/>
        <w:spacing w:after="0" w:afterLines="0" w:line="400" w:lineRule="exact"/>
        <w:jc w:val="left"/>
        <w:rPr>
          <w:rFonts w:hint="default" w:ascii="原版宋体" w:hAnsi="原版宋体" w:eastAsia="黑体" w:cs="Times New Roman"/>
          <w:sz w:val="32"/>
          <w:szCs w:val="32"/>
          <w:highlight w:val="none"/>
        </w:rPr>
      </w:pPr>
    </w:p>
    <w:p>
      <w:pPr>
        <w:widowControl/>
        <w:spacing w:after="0" w:afterLines="0" w:line="400" w:lineRule="exact"/>
        <w:jc w:val="left"/>
        <w:rPr>
          <w:rFonts w:hint="default" w:ascii="原版宋体" w:hAnsi="原版宋体" w:eastAsia="黑体" w:cs="Times New Roman"/>
          <w:sz w:val="32"/>
          <w:szCs w:val="32"/>
          <w:highlight w:val="none"/>
        </w:rPr>
      </w:pPr>
    </w:p>
    <w:p>
      <w:pPr>
        <w:widowControl/>
        <w:spacing w:after="0" w:afterLines="0" w:line="400" w:lineRule="exact"/>
        <w:jc w:val="left"/>
        <w:rPr>
          <w:rFonts w:hint="default" w:ascii="原版宋体" w:hAnsi="原版宋体" w:eastAsia="黑体" w:cs="Times New Roman"/>
          <w:sz w:val="32"/>
          <w:szCs w:val="32"/>
          <w:highlight w:val="none"/>
        </w:rPr>
      </w:pPr>
    </w:p>
    <w:p>
      <w:pPr>
        <w:widowControl/>
        <w:spacing w:after="0" w:afterLines="0" w:line="400" w:lineRule="exact"/>
        <w:jc w:val="left"/>
        <w:rPr>
          <w:rFonts w:hint="default" w:ascii="原版宋体" w:hAnsi="原版宋体" w:eastAsia="黑体" w:cs="Times New Roman"/>
          <w:sz w:val="32"/>
          <w:szCs w:val="32"/>
          <w:highlight w:val="none"/>
          <w:lang w:val="en-US" w:eastAsia="zh-CN"/>
        </w:rPr>
      </w:pPr>
      <w:r>
        <w:rPr>
          <w:rFonts w:hint="default" w:ascii="原版宋体" w:hAnsi="原版宋体" w:eastAsia="黑体" w:cs="Times New Roman"/>
          <w:sz w:val="32"/>
          <w:szCs w:val="32"/>
          <w:highlight w:val="none"/>
        </w:rPr>
        <w:t>附件</w:t>
      </w:r>
      <w:r>
        <w:rPr>
          <w:rFonts w:hint="eastAsia" w:ascii="原版宋体" w:hAnsi="原版宋体" w:eastAsia="黑体" w:cs="Times New Roman"/>
          <w:sz w:val="32"/>
          <w:szCs w:val="32"/>
          <w:highlight w:val="none"/>
          <w:lang w:val="en-US" w:eastAsia="zh-CN"/>
        </w:rPr>
        <w:t>2</w:t>
      </w:r>
    </w:p>
    <w:p>
      <w:pPr>
        <w:widowControl/>
        <w:spacing w:after="0" w:afterLines="0" w:line="600" w:lineRule="exact"/>
        <w:jc w:val="center"/>
        <w:rPr>
          <w:rFonts w:hint="default" w:ascii="原版宋体" w:hAnsi="原版宋体" w:eastAsia="方正小标宋_GBK" w:cs="Times New Roman"/>
          <w:color w:val="000000"/>
          <w:sz w:val="36"/>
          <w:szCs w:val="36"/>
          <w:highlight w:val="none"/>
        </w:rPr>
      </w:pPr>
      <w:r>
        <w:rPr>
          <w:rFonts w:hint="default" w:ascii="原版宋体" w:hAnsi="原版宋体" w:eastAsia="方正小标宋_GBK" w:cs="Times New Roman"/>
          <w:color w:val="000000"/>
          <w:sz w:val="36"/>
          <w:szCs w:val="36"/>
          <w:highlight w:val="none"/>
        </w:rPr>
        <w:t>202</w:t>
      </w:r>
      <w:r>
        <w:rPr>
          <w:rFonts w:hint="eastAsia" w:ascii="原版宋体" w:hAnsi="原版宋体" w:eastAsia="方正小标宋_GBK" w:cs="Times New Roman"/>
          <w:color w:val="000000"/>
          <w:sz w:val="36"/>
          <w:szCs w:val="36"/>
          <w:highlight w:val="none"/>
          <w:lang w:val="en-US" w:eastAsia="zh-CN"/>
        </w:rPr>
        <w:t>4</w:t>
      </w:r>
      <w:r>
        <w:rPr>
          <w:rFonts w:hint="default" w:ascii="原版宋体" w:hAnsi="原版宋体" w:eastAsia="方正小标宋_GBK" w:cs="Times New Roman"/>
          <w:color w:val="000000"/>
          <w:sz w:val="36"/>
          <w:szCs w:val="36"/>
          <w:highlight w:val="none"/>
        </w:rPr>
        <w:t>年度部门整体支出绩效自评表</w:t>
      </w:r>
    </w:p>
    <w:tbl>
      <w:tblPr>
        <w:tblStyle w:val="14"/>
        <w:tblW w:w="10079" w:type="dxa"/>
        <w:jc w:val="center"/>
        <w:tblLayout w:type="fixed"/>
        <w:tblCellMar>
          <w:top w:w="0" w:type="dxa"/>
          <w:left w:w="108" w:type="dxa"/>
          <w:bottom w:w="0" w:type="dxa"/>
          <w:right w:w="108" w:type="dxa"/>
        </w:tblCellMar>
      </w:tblPr>
      <w:tblGrid>
        <w:gridCol w:w="1080"/>
        <w:gridCol w:w="1080"/>
        <w:gridCol w:w="1034"/>
        <w:gridCol w:w="1270"/>
        <w:gridCol w:w="1311"/>
        <w:gridCol w:w="1410"/>
        <w:gridCol w:w="575"/>
        <w:gridCol w:w="873"/>
        <w:gridCol w:w="1446"/>
      </w:tblGrid>
      <w:tr>
        <w:tblPrEx>
          <w:tblCellMar>
            <w:top w:w="0" w:type="dxa"/>
            <w:left w:w="108" w:type="dxa"/>
            <w:bottom w:w="0" w:type="dxa"/>
            <w:right w:w="108" w:type="dxa"/>
          </w:tblCellMar>
        </w:tblPrEx>
        <w:trPr>
          <w:jc w:val="center"/>
        </w:trPr>
        <w:tc>
          <w:tcPr>
            <w:tcW w:w="3194" w:type="dxa"/>
            <w:gridSpan w:val="3"/>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default" w:ascii="原版宋体" w:hAnsi="原版宋体" w:eastAsia="仿宋_GB2312" w:cs="Times New Roman"/>
                <w:color w:val="000000"/>
                <w:sz w:val="20"/>
                <w:szCs w:val="20"/>
                <w:highlight w:val="none"/>
              </w:rPr>
              <w:t>省级预算部门</w:t>
            </w:r>
            <w:r>
              <w:rPr>
                <w:rFonts w:hint="eastAsia" w:ascii="原版宋体" w:hAnsi="原版宋体" w:cs="Times New Roman"/>
                <w:color w:val="000000"/>
                <w:sz w:val="20"/>
                <w:szCs w:val="20"/>
                <w:highlight w:val="none"/>
                <w:lang w:eastAsia="zh-CN"/>
              </w:rPr>
              <w:t>、单位</w:t>
            </w:r>
            <w:r>
              <w:rPr>
                <w:rFonts w:hint="default" w:ascii="原版宋体" w:hAnsi="原版宋体" w:eastAsia="仿宋_GB2312" w:cs="Times New Roman"/>
                <w:color w:val="000000"/>
                <w:sz w:val="20"/>
                <w:szCs w:val="20"/>
                <w:highlight w:val="none"/>
              </w:rPr>
              <w:t>名称</w:t>
            </w:r>
          </w:p>
          <w:p>
            <w:pPr>
              <w:widowControl/>
              <w:spacing w:line="240" w:lineRule="exact"/>
              <w:jc w:val="center"/>
              <w:rPr>
                <w:rFonts w:hint="default" w:ascii="原版宋体" w:hAnsi="原版宋体" w:eastAsia="仿宋_GB2312" w:cs="Times New Roman"/>
                <w:color w:val="000000"/>
                <w:sz w:val="20"/>
                <w:szCs w:val="20"/>
                <w:highlight w:val="none"/>
              </w:rPr>
            </w:pPr>
          </w:p>
        </w:tc>
        <w:tc>
          <w:tcPr>
            <w:tcW w:w="688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eastAsia" w:ascii="原版宋体" w:hAnsi="原版宋体" w:cs="Times New Roman"/>
                <w:color w:val="auto"/>
                <w:sz w:val="20"/>
                <w:szCs w:val="20"/>
                <w:highlight w:val="none"/>
                <w:lang w:eastAsia="zh-CN"/>
              </w:rPr>
              <w:t>邵阳学院附属第二医院</w:t>
            </w:r>
            <w:r>
              <w:rPr>
                <w:rFonts w:hint="default" w:ascii="原版宋体" w:hAnsi="原版宋体" w:eastAsia="仿宋_GB2312" w:cs="Times New Roman"/>
                <w:color w:val="auto"/>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年度预</w:t>
            </w:r>
          </w:p>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算申请</w:t>
            </w:r>
            <w:r>
              <w:rPr>
                <w:rFonts w:hint="default" w:ascii="原版宋体" w:hAnsi="原版宋体" w:eastAsia="仿宋_GB2312" w:cs="Times New Roman"/>
                <w:color w:val="000000"/>
                <w:sz w:val="20"/>
                <w:szCs w:val="20"/>
                <w:highlight w:val="none"/>
              </w:rPr>
              <w:br w:type="textWrapping"/>
            </w:r>
            <w:r>
              <w:rPr>
                <w:rFonts w:hint="default" w:ascii="原版宋体" w:hAnsi="原版宋体" w:eastAsia="仿宋_GB2312" w:cs="Times New Roman"/>
                <w:color w:val="000000"/>
                <w:sz w:val="20"/>
                <w:szCs w:val="20"/>
                <w:highlight w:val="none"/>
              </w:rPr>
              <w:t>（万元）</w:t>
            </w: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hint="default" w:ascii="原版宋体" w:hAnsi="原版宋体" w:eastAsia="仿宋_GB2312" w:cs="Times New Roman"/>
                <w:sz w:val="20"/>
                <w:szCs w:val="20"/>
                <w:highlight w:val="none"/>
              </w:rPr>
            </w:pPr>
          </w:p>
        </w:tc>
        <w:tc>
          <w:tcPr>
            <w:tcW w:w="1270" w:type="dxa"/>
            <w:tcBorders>
              <w:top w:val="nil"/>
              <w:left w:val="nil"/>
              <w:bottom w:val="single" w:color="auto" w:sz="4" w:space="0"/>
              <w:right w:val="single" w:color="auto" w:sz="4" w:space="0"/>
            </w:tcBorders>
            <w:vAlign w:val="center"/>
          </w:tcPr>
          <w:p>
            <w:pPr>
              <w:spacing w:line="240" w:lineRule="exact"/>
              <w:jc w:val="center"/>
              <w:rPr>
                <w:rFonts w:hint="default" w:ascii="原版宋体" w:hAnsi="原版宋体" w:eastAsia="仿宋_GB2312" w:cs="Times New Roman"/>
                <w:sz w:val="20"/>
                <w:szCs w:val="20"/>
                <w:highlight w:val="none"/>
              </w:rPr>
            </w:pPr>
            <w:r>
              <w:rPr>
                <w:rFonts w:hint="default" w:ascii="原版宋体" w:hAnsi="原版宋体" w:eastAsia="仿宋_GB2312" w:cs="Times New Roman"/>
                <w:sz w:val="20"/>
                <w:szCs w:val="20"/>
                <w:highlight w:val="none"/>
              </w:rPr>
              <w:t>年初预算数</w:t>
            </w:r>
          </w:p>
        </w:tc>
        <w:tc>
          <w:tcPr>
            <w:tcW w:w="1311" w:type="dxa"/>
            <w:tcBorders>
              <w:top w:val="nil"/>
              <w:left w:val="nil"/>
              <w:bottom w:val="single" w:color="auto" w:sz="4" w:space="0"/>
              <w:right w:val="single" w:color="auto" w:sz="4" w:space="0"/>
            </w:tcBorders>
            <w:vAlign w:val="center"/>
          </w:tcPr>
          <w:p>
            <w:pPr>
              <w:spacing w:line="240" w:lineRule="exact"/>
              <w:jc w:val="center"/>
              <w:rPr>
                <w:rFonts w:hint="default" w:ascii="原版宋体" w:hAnsi="原版宋体" w:eastAsia="仿宋_GB2312" w:cs="Times New Roman"/>
                <w:sz w:val="20"/>
                <w:szCs w:val="20"/>
                <w:highlight w:val="none"/>
              </w:rPr>
            </w:pPr>
            <w:r>
              <w:rPr>
                <w:rFonts w:hint="default" w:ascii="原版宋体" w:hAnsi="原版宋体" w:eastAsia="仿宋_GB2312" w:cs="Times New Roman"/>
                <w:sz w:val="20"/>
                <w:szCs w:val="20"/>
                <w:highlight w:val="none"/>
              </w:rPr>
              <w:t>全年预算数</w:t>
            </w:r>
          </w:p>
        </w:tc>
        <w:tc>
          <w:tcPr>
            <w:tcW w:w="1410" w:type="dxa"/>
            <w:tcBorders>
              <w:top w:val="nil"/>
              <w:left w:val="nil"/>
              <w:bottom w:val="single" w:color="auto" w:sz="4" w:space="0"/>
              <w:right w:val="single" w:color="auto" w:sz="4" w:space="0"/>
            </w:tcBorders>
            <w:vAlign w:val="center"/>
          </w:tcPr>
          <w:p>
            <w:pPr>
              <w:spacing w:line="240" w:lineRule="exact"/>
              <w:jc w:val="center"/>
              <w:rPr>
                <w:rFonts w:hint="default" w:ascii="原版宋体" w:hAnsi="原版宋体" w:eastAsia="仿宋_GB2312" w:cs="Times New Roman"/>
                <w:sz w:val="20"/>
                <w:szCs w:val="20"/>
                <w:highlight w:val="none"/>
              </w:rPr>
            </w:pPr>
            <w:r>
              <w:rPr>
                <w:rFonts w:hint="default" w:ascii="原版宋体" w:hAnsi="原版宋体" w:eastAsia="仿宋_GB2312" w:cs="Times New Roman"/>
                <w:sz w:val="20"/>
                <w:szCs w:val="20"/>
                <w:highlight w:val="none"/>
              </w:rPr>
              <w:t>全年执行数</w:t>
            </w:r>
          </w:p>
        </w:tc>
        <w:tc>
          <w:tcPr>
            <w:tcW w:w="575" w:type="dxa"/>
            <w:tcBorders>
              <w:top w:val="nil"/>
              <w:left w:val="nil"/>
              <w:bottom w:val="single" w:color="auto" w:sz="4" w:space="0"/>
              <w:right w:val="single" w:color="auto" w:sz="4" w:space="0"/>
            </w:tcBorders>
            <w:vAlign w:val="center"/>
          </w:tcPr>
          <w:p>
            <w:pPr>
              <w:spacing w:line="240" w:lineRule="exact"/>
              <w:jc w:val="center"/>
              <w:rPr>
                <w:rFonts w:hint="default" w:ascii="原版宋体" w:hAnsi="原版宋体" w:eastAsia="仿宋_GB2312" w:cs="Times New Roman"/>
                <w:sz w:val="20"/>
                <w:szCs w:val="20"/>
                <w:highlight w:val="none"/>
              </w:rPr>
            </w:pPr>
            <w:r>
              <w:rPr>
                <w:rFonts w:hint="default" w:ascii="原版宋体" w:hAnsi="原版宋体" w:eastAsia="仿宋_GB2312" w:cs="Times New Roman"/>
                <w:sz w:val="20"/>
                <w:szCs w:val="20"/>
                <w:highlight w:val="none"/>
              </w:rPr>
              <w:t>分值</w:t>
            </w:r>
          </w:p>
        </w:tc>
        <w:tc>
          <w:tcPr>
            <w:tcW w:w="873" w:type="dxa"/>
            <w:tcBorders>
              <w:top w:val="nil"/>
              <w:left w:val="nil"/>
              <w:bottom w:val="single" w:color="auto" w:sz="4" w:space="0"/>
              <w:right w:val="single" w:color="auto" w:sz="4" w:space="0"/>
            </w:tcBorders>
            <w:vAlign w:val="center"/>
          </w:tcPr>
          <w:p>
            <w:pPr>
              <w:spacing w:line="240" w:lineRule="exact"/>
              <w:jc w:val="center"/>
              <w:rPr>
                <w:rFonts w:hint="default" w:ascii="原版宋体" w:hAnsi="原版宋体" w:eastAsia="仿宋_GB2312" w:cs="Times New Roman"/>
                <w:sz w:val="20"/>
                <w:szCs w:val="20"/>
                <w:highlight w:val="none"/>
              </w:rPr>
            </w:pPr>
            <w:r>
              <w:rPr>
                <w:rFonts w:hint="default" w:ascii="原版宋体" w:hAnsi="原版宋体" w:eastAsia="仿宋_GB2312" w:cs="Times New Roman"/>
                <w:sz w:val="20"/>
                <w:szCs w:val="20"/>
                <w:highlight w:val="none"/>
              </w:rPr>
              <w:t>执行率</w:t>
            </w:r>
          </w:p>
        </w:tc>
        <w:tc>
          <w:tcPr>
            <w:tcW w:w="1446" w:type="dxa"/>
            <w:tcBorders>
              <w:top w:val="nil"/>
              <w:left w:val="nil"/>
              <w:bottom w:val="single" w:color="auto" w:sz="4" w:space="0"/>
              <w:right w:val="single" w:color="auto" w:sz="4" w:space="0"/>
            </w:tcBorders>
            <w:vAlign w:val="center"/>
          </w:tcPr>
          <w:p>
            <w:pPr>
              <w:spacing w:line="240" w:lineRule="exact"/>
              <w:jc w:val="center"/>
              <w:rPr>
                <w:rFonts w:hint="default" w:ascii="原版宋体" w:hAnsi="原版宋体" w:eastAsia="仿宋_GB2312" w:cs="Times New Roman"/>
                <w:sz w:val="20"/>
                <w:szCs w:val="20"/>
                <w:highlight w:val="none"/>
              </w:rPr>
            </w:pPr>
            <w:r>
              <w:rPr>
                <w:rFonts w:hint="eastAsia" w:ascii="原版宋体" w:hAnsi="原版宋体" w:cs="Times New Roman"/>
                <w:sz w:val="20"/>
                <w:szCs w:val="20"/>
                <w:highlight w:val="none"/>
                <w:lang w:eastAsia="zh-CN"/>
              </w:rPr>
              <w:t>自评</w:t>
            </w:r>
            <w:r>
              <w:rPr>
                <w:rFonts w:hint="default" w:ascii="原版宋体" w:hAnsi="原版宋体" w:eastAsia="仿宋_GB2312" w:cs="Times New Roman"/>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hint="default" w:ascii="原版宋体" w:hAnsi="原版宋体" w:eastAsia="仿宋_GB2312" w:cs="Times New Roman"/>
                <w:sz w:val="20"/>
                <w:szCs w:val="20"/>
                <w:highlight w:val="none"/>
              </w:rPr>
            </w:pPr>
            <w:r>
              <w:rPr>
                <w:rFonts w:hint="default" w:ascii="原版宋体" w:hAnsi="原版宋体" w:eastAsia="仿宋_GB2312" w:cs="Times New Roman"/>
                <w:color w:val="000000"/>
                <w:sz w:val="20"/>
                <w:szCs w:val="20"/>
                <w:highlight w:val="none"/>
              </w:rPr>
              <w:t>年度资金总额</w:t>
            </w:r>
          </w:p>
        </w:tc>
        <w:tc>
          <w:tcPr>
            <w:tcW w:w="1270" w:type="dxa"/>
            <w:tcBorders>
              <w:top w:val="nil"/>
              <w:left w:val="nil"/>
              <w:bottom w:val="single" w:color="auto" w:sz="4" w:space="0"/>
              <w:right w:val="single" w:color="auto" w:sz="4" w:space="0"/>
            </w:tcBorders>
            <w:vAlign w:val="center"/>
          </w:tcPr>
          <w:p>
            <w:pPr>
              <w:spacing w:line="240" w:lineRule="exact"/>
              <w:jc w:val="center"/>
              <w:rPr>
                <w:rFonts w:hint="default" w:ascii="原版宋体" w:hAnsi="原版宋体" w:eastAsia="仿宋_GB2312" w:cs="Times New Roman"/>
                <w:sz w:val="20"/>
                <w:szCs w:val="20"/>
                <w:highlight w:val="none"/>
                <w:lang w:val="en-US" w:eastAsia="zh-CN"/>
              </w:rPr>
            </w:pPr>
            <w:r>
              <w:rPr>
                <w:rFonts w:hint="eastAsia" w:ascii="原版宋体" w:hAnsi="原版宋体" w:cs="Times New Roman"/>
                <w:sz w:val="20"/>
                <w:szCs w:val="20"/>
                <w:highlight w:val="none"/>
                <w:lang w:val="en-US" w:eastAsia="zh-CN"/>
              </w:rPr>
              <w:t>1600.15</w:t>
            </w:r>
          </w:p>
        </w:tc>
        <w:tc>
          <w:tcPr>
            <w:tcW w:w="1311" w:type="dxa"/>
            <w:tcBorders>
              <w:top w:val="nil"/>
              <w:left w:val="nil"/>
              <w:bottom w:val="single" w:color="auto" w:sz="4" w:space="0"/>
              <w:right w:val="single" w:color="auto" w:sz="4" w:space="0"/>
            </w:tcBorders>
            <w:vAlign w:val="center"/>
          </w:tcPr>
          <w:p>
            <w:pPr>
              <w:spacing w:line="240" w:lineRule="exact"/>
              <w:jc w:val="center"/>
              <w:rPr>
                <w:rFonts w:hint="default" w:ascii="原版宋体" w:hAnsi="原版宋体" w:eastAsia="仿宋_GB2312" w:cs="Times New Roman"/>
                <w:sz w:val="20"/>
                <w:szCs w:val="20"/>
                <w:highlight w:val="none"/>
                <w:lang w:val="en-US" w:eastAsia="zh-CN"/>
              </w:rPr>
            </w:pPr>
            <w:r>
              <w:rPr>
                <w:rFonts w:hint="eastAsia" w:ascii="原版宋体" w:hAnsi="原版宋体" w:cs="Times New Roman"/>
                <w:sz w:val="20"/>
                <w:szCs w:val="20"/>
                <w:highlight w:val="none"/>
                <w:lang w:val="en-US" w:eastAsia="zh-CN"/>
              </w:rPr>
              <w:t>2228.65</w:t>
            </w:r>
          </w:p>
        </w:tc>
        <w:tc>
          <w:tcPr>
            <w:tcW w:w="1410" w:type="dxa"/>
            <w:tcBorders>
              <w:top w:val="nil"/>
              <w:left w:val="nil"/>
              <w:bottom w:val="single" w:color="auto" w:sz="4" w:space="0"/>
              <w:right w:val="single" w:color="auto" w:sz="4" w:space="0"/>
            </w:tcBorders>
            <w:vAlign w:val="center"/>
          </w:tcPr>
          <w:p>
            <w:pPr>
              <w:spacing w:line="240" w:lineRule="exact"/>
              <w:jc w:val="center"/>
              <w:rPr>
                <w:rFonts w:hint="default" w:ascii="原版宋体" w:hAnsi="原版宋体" w:eastAsia="仿宋_GB2312" w:cs="Times New Roman"/>
                <w:sz w:val="20"/>
                <w:szCs w:val="20"/>
                <w:highlight w:val="none"/>
                <w:lang w:val="en-US" w:eastAsia="zh-CN"/>
              </w:rPr>
            </w:pPr>
            <w:r>
              <w:rPr>
                <w:rFonts w:hint="eastAsia" w:ascii="原版宋体" w:hAnsi="原版宋体" w:cs="Times New Roman"/>
                <w:sz w:val="20"/>
                <w:szCs w:val="20"/>
                <w:highlight w:val="none"/>
                <w:lang w:val="en-US" w:eastAsia="zh-CN"/>
              </w:rPr>
              <w:t>1905.14</w:t>
            </w:r>
          </w:p>
        </w:tc>
        <w:tc>
          <w:tcPr>
            <w:tcW w:w="575" w:type="dxa"/>
            <w:tcBorders>
              <w:top w:val="nil"/>
              <w:left w:val="nil"/>
              <w:bottom w:val="single" w:color="auto" w:sz="4" w:space="0"/>
              <w:right w:val="single" w:color="auto" w:sz="4" w:space="0"/>
            </w:tcBorders>
            <w:vAlign w:val="center"/>
          </w:tcPr>
          <w:p>
            <w:pPr>
              <w:spacing w:line="240" w:lineRule="exact"/>
              <w:jc w:val="center"/>
              <w:rPr>
                <w:rFonts w:hint="default" w:ascii="原版宋体" w:hAnsi="原版宋体" w:eastAsia="仿宋_GB2312" w:cs="Times New Roman"/>
                <w:sz w:val="20"/>
                <w:szCs w:val="20"/>
                <w:highlight w:val="none"/>
              </w:rPr>
            </w:pPr>
            <w:r>
              <w:rPr>
                <w:rFonts w:hint="default" w:ascii="原版宋体" w:hAnsi="原版宋体" w:eastAsia="仿宋_GB2312" w:cs="Times New Roman"/>
                <w:sz w:val="20"/>
                <w:szCs w:val="20"/>
                <w:highlight w:val="none"/>
              </w:rPr>
              <w:t>10</w:t>
            </w:r>
          </w:p>
        </w:tc>
        <w:tc>
          <w:tcPr>
            <w:tcW w:w="873" w:type="dxa"/>
            <w:tcBorders>
              <w:top w:val="nil"/>
              <w:left w:val="nil"/>
              <w:bottom w:val="single" w:color="auto" w:sz="4" w:space="0"/>
              <w:right w:val="single" w:color="auto" w:sz="4" w:space="0"/>
            </w:tcBorders>
            <w:vAlign w:val="center"/>
          </w:tcPr>
          <w:p>
            <w:pPr>
              <w:spacing w:line="240" w:lineRule="exact"/>
              <w:jc w:val="center"/>
              <w:rPr>
                <w:rFonts w:hint="eastAsia" w:ascii="原版宋体" w:hAnsi="原版宋体" w:eastAsia="仿宋_GB2312" w:cs="Times New Roman"/>
                <w:sz w:val="20"/>
                <w:szCs w:val="20"/>
                <w:highlight w:val="none"/>
                <w:lang w:val="en-US" w:eastAsia="zh-CN"/>
              </w:rPr>
            </w:pPr>
            <w:r>
              <w:rPr>
                <w:rFonts w:hint="eastAsia" w:ascii="原版宋体" w:hAnsi="原版宋体" w:cs="Times New Roman"/>
                <w:sz w:val="20"/>
                <w:szCs w:val="20"/>
                <w:highlight w:val="none"/>
                <w:lang w:val="en-US" w:eastAsia="zh-CN"/>
              </w:rPr>
              <w:t>85.48%</w:t>
            </w:r>
          </w:p>
        </w:tc>
        <w:tc>
          <w:tcPr>
            <w:tcW w:w="1446" w:type="dxa"/>
            <w:tcBorders>
              <w:top w:val="nil"/>
              <w:left w:val="nil"/>
              <w:bottom w:val="single" w:color="auto" w:sz="4" w:space="0"/>
              <w:right w:val="single" w:color="auto" w:sz="4" w:space="0"/>
            </w:tcBorders>
            <w:vAlign w:val="center"/>
          </w:tcPr>
          <w:p>
            <w:pPr>
              <w:spacing w:line="240" w:lineRule="exact"/>
              <w:jc w:val="center"/>
              <w:rPr>
                <w:rFonts w:hint="default" w:ascii="原版宋体" w:hAnsi="原版宋体" w:eastAsia="仿宋_GB2312" w:cs="Times New Roman"/>
                <w:sz w:val="20"/>
                <w:szCs w:val="20"/>
                <w:highlight w:val="none"/>
                <w:lang w:val="en-US" w:eastAsia="zh-CN"/>
              </w:rPr>
            </w:pPr>
            <w:r>
              <w:rPr>
                <w:rFonts w:hint="eastAsia" w:ascii="原版宋体" w:hAnsi="原版宋体" w:cs="Times New Roman"/>
                <w:sz w:val="20"/>
                <w:szCs w:val="20"/>
                <w:highlight w:val="none"/>
                <w:lang w:val="en-US" w:eastAsia="zh-CN"/>
              </w:rPr>
              <w:t>8.5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按支出性质分：</w:t>
            </w:r>
          </w:p>
        </w:tc>
      </w:tr>
      <w:tr>
        <w:tblPrEx>
          <w:tblCellMar>
            <w:top w:w="0" w:type="dxa"/>
            <w:left w:w="108" w:type="dxa"/>
            <w:bottom w:w="0" w:type="dxa"/>
            <w:right w:w="108" w:type="dxa"/>
          </w:tblCellMar>
        </w:tblPrEx>
        <w:trPr>
          <w:trHeight w:val="235"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lang w:val="en-US" w:eastAsia="zh-CN"/>
              </w:rPr>
            </w:pPr>
            <w:r>
              <w:rPr>
                <w:rFonts w:hint="default" w:ascii="原版宋体" w:hAnsi="原版宋体" w:eastAsia="仿宋_GB2312" w:cs="Times New Roman"/>
                <w:color w:val="000000"/>
                <w:sz w:val="20"/>
                <w:szCs w:val="20"/>
                <w:highlight w:val="none"/>
              </w:rPr>
              <w:t xml:space="preserve">  其中：一般公共预算：</w:t>
            </w:r>
            <w:r>
              <w:rPr>
                <w:rFonts w:hint="eastAsia" w:ascii="原版宋体" w:hAnsi="原版宋体" w:cs="Times New Roman"/>
                <w:color w:val="000000"/>
                <w:sz w:val="20"/>
                <w:szCs w:val="20"/>
                <w:highlight w:val="none"/>
                <w:lang w:val="en-US" w:eastAsia="zh-CN"/>
              </w:rPr>
              <w:t>2228.65</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lang w:val="en-US" w:eastAsia="zh-CN"/>
              </w:rPr>
            </w:pPr>
            <w:r>
              <w:rPr>
                <w:rFonts w:hint="default" w:ascii="原版宋体" w:hAnsi="原版宋体" w:eastAsia="仿宋_GB2312" w:cs="Times New Roman"/>
                <w:color w:val="000000"/>
                <w:sz w:val="20"/>
                <w:szCs w:val="20"/>
                <w:highlight w:val="none"/>
              </w:rPr>
              <w:t>其中：基本支出：</w:t>
            </w:r>
            <w:r>
              <w:rPr>
                <w:rFonts w:hint="eastAsia" w:ascii="原版宋体" w:hAnsi="原版宋体" w:cs="Times New Roman"/>
                <w:color w:val="000000"/>
                <w:sz w:val="20"/>
                <w:szCs w:val="20"/>
                <w:highlight w:val="none"/>
                <w:lang w:val="en-US" w:eastAsia="zh-CN"/>
              </w:rPr>
              <w:t>1545.15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ind w:firstLine="800" w:firstLineChars="400"/>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vAlign w:val="center"/>
          </w:tcPr>
          <w:p>
            <w:pPr>
              <w:widowControl/>
              <w:spacing w:line="240" w:lineRule="exact"/>
              <w:ind w:firstLine="600" w:firstLineChars="300"/>
              <w:jc w:val="left"/>
              <w:rPr>
                <w:rFonts w:hint="default" w:ascii="原版宋体" w:hAnsi="原版宋体" w:eastAsia="仿宋_GB2312" w:cs="Times New Roman"/>
                <w:color w:val="000000"/>
                <w:sz w:val="20"/>
                <w:szCs w:val="20"/>
                <w:highlight w:val="none"/>
                <w:lang w:val="en-US" w:eastAsia="zh-CN"/>
              </w:rPr>
            </w:pPr>
            <w:r>
              <w:rPr>
                <w:rFonts w:hint="default" w:ascii="原版宋体" w:hAnsi="原版宋体" w:eastAsia="仿宋_GB2312" w:cs="Times New Roman"/>
                <w:color w:val="000000"/>
                <w:sz w:val="20"/>
                <w:szCs w:val="20"/>
                <w:highlight w:val="none"/>
              </w:rPr>
              <w:t>项目支出：</w:t>
            </w:r>
            <w:r>
              <w:rPr>
                <w:rFonts w:hint="eastAsia" w:ascii="原版宋体" w:hAnsi="原版宋体" w:cs="Times New Roman"/>
                <w:color w:val="000000"/>
                <w:sz w:val="20"/>
                <w:szCs w:val="20"/>
                <w:highlight w:val="none"/>
                <w:lang w:val="en-US" w:eastAsia="zh-CN"/>
              </w:rPr>
              <w:t>359.99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ind w:firstLine="1400" w:firstLineChars="700"/>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其他资金：</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eastAsia" w:ascii="原版宋体" w:hAnsi="原版宋体" w:cs="Times New Roman"/>
                <w:color w:val="auto"/>
                <w:sz w:val="20"/>
                <w:szCs w:val="20"/>
                <w:highlight w:val="none"/>
                <w:lang w:eastAsia="zh-CN"/>
              </w:rPr>
              <w:t>逐步深化医院综合改革，建立健全现代医院管理制度，协调推进医疗价格改革，提高医疗卫生服务质量。</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eastAsia" w:ascii="原版宋体" w:hAnsi="原版宋体" w:cs="Times New Roman"/>
                <w:color w:val="auto"/>
                <w:sz w:val="20"/>
                <w:szCs w:val="20"/>
                <w:highlight w:val="none"/>
                <w:lang w:eastAsia="zh-CN"/>
              </w:rPr>
              <w:t>医院综合改革向纵深发展，逐步完善了现代医院管理制度，医疗价格改革逐步推进，医疗卫生服务质量得到提升。</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绩</w:t>
            </w:r>
          </w:p>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效</w:t>
            </w:r>
          </w:p>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指</w:t>
            </w:r>
          </w:p>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标</w:t>
            </w:r>
          </w:p>
          <w:p>
            <w:pPr>
              <w:widowControl/>
              <w:spacing w:line="240" w:lineRule="exact"/>
              <w:jc w:val="center"/>
              <w:rPr>
                <w:rFonts w:hint="default" w:ascii="原版宋体" w:hAnsi="原版宋体" w:eastAsia="仿宋_GB2312" w:cs="Times New Roman"/>
                <w:color w:val="000000"/>
                <w:sz w:val="20"/>
                <w:szCs w:val="20"/>
                <w:highlight w:val="none"/>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一级指标</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二级指标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三级指标</w:t>
            </w:r>
          </w:p>
        </w:tc>
        <w:tc>
          <w:tcPr>
            <w:tcW w:w="1311" w:type="dxa"/>
            <w:tcBorders>
              <w:top w:val="nil"/>
              <w:left w:val="nil"/>
              <w:bottom w:val="single" w:color="auto" w:sz="4" w:space="0"/>
              <w:right w:val="single" w:color="auto" w:sz="4" w:space="0"/>
            </w:tcBorders>
            <w:vAlign w:val="center"/>
          </w:tcPr>
          <w:p>
            <w:pPr>
              <w:widowControl/>
              <w:spacing w:line="240" w:lineRule="exact"/>
              <w:jc w:val="both"/>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年度指标值</w:t>
            </w:r>
          </w:p>
        </w:tc>
        <w:tc>
          <w:tcPr>
            <w:tcW w:w="1410" w:type="dxa"/>
            <w:tcBorders>
              <w:top w:val="nil"/>
              <w:left w:val="nil"/>
              <w:bottom w:val="single" w:color="auto" w:sz="4" w:space="0"/>
              <w:right w:val="single" w:color="auto" w:sz="4" w:space="0"/>
            </w:tcBorders>
            <w:vAlign w:val="center"/>
          </w:tcPr>
          <w:p>
            <w:pPr>
              <w:widowControl/>
              <w:spacing w:line="240" w:lineRule="exac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实际完成值</w:t>
            </w:r>
          </w:p>
        </w:tc>
        <w:tc>
          <w:tcPr>
            <w:tcW w:w="575"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分值</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hint="eastAsia" w:ascii="原版宋体" w:hAnsi="原版宋体" w:cs="Times New Roman"/>
                <w:color w:val="000000"/>
                <w:sz w:val="20"/>
                <w:szCs w:val="20"/>
                <w:highlight w:val="none"/>
                <w:lang w:eastAsia="zh-CN"/>
              </w:rPr>
            </w:pPr>
            <w:r>
              <w:rPr>
                <w:rFonts w:hint="eastAsia" w:ascii="原版宋体" w:hAnsi="原版宋体" w:cs="Times New Roman"/>
                <w:color w:val="000000"/>
                <w:sz w:val="20"/>
                <w:szCs w:val="20"/>
                <w:highlight w:val="none"/>
                <w:lang w:eastAsia="zh-CN"/>
              </w:rPr>
              <w:t>自评</w:t>
            </w:r>
          </w:p>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得分</w:t>
            </w:r>
          </w:p>
        </w:tc>
        <w:tc>
          <w:tcPr>
            <w:tcW w:w="1446" w:type="dxa"/>
            <w:tcBorders>
              <w:top w:val="nil"/>
              <w:left w:val="nil"/>
              <w:bottom w:val="single" w:color="auto" w:sz="4" w:space="0"/>
              <w:right w:val="single" w:color="auto" w:sz="4" w:space="0"/>
            </w:tcBorders>
            <w:vAlign w:val="center"/>
          </w:tcPr>
          <w:p>
            <w:pPr>
              <w:widowControl/>
              <w:spacing w:line="240" w:lineRule="exact"/>
              <w:jc w:val="both"/>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restart"/>
            <w:tcBorders>
              <w:top w:val="nil"/>
              <w:left w:val="nil"/>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产出指标</w:t>
            </w:r>
          </w:p>
          <w:p>
            <w:pPr>
              <w:widowControl/>
              <w:spacing w:line="240" w:lineRule="exact"/>
              <w:jc w:val="center"/>
              <w:rPr>
                <w:rFonts w:hint="default" w:ascii="原版宋体" w:hAnsi="原版宋体" w:eastAsia="仿宋_GB2312" w:cs="Times New Roman"/>
                <w:color w:val="000000"/>
                <w:sz w:val="20"/>
                <w:szCs w:val="20"/>
                <w:highlight w:val="none"/>
              </w:rPr>
            </w:pPr>
          </w:p>
          <w:p>
            <w:pPr>
              <w:widowControl/>
              <w:spacing w:line="240" w:lineRule="exact"/>
              <w:jc w:val="center"/>
              <w:rPr>
                <w:rFonts w:hint="eastAsia" w:ascii="原版宋体" w:hAnsi="原版宋体" w:eastAsia="仿宋_GB2312" w:cs="Times New Roman"/>
                <w:color w:val="000000"/>
                <w:sz w:val="20"/>
                <w:szCs w:val="20"/>
                <w:highlight w:val="none"/>
                <w:lang w:eastAsia="zh-CN"/>
              </w:rPr>
            </w:pPr>
            <w:r>
              <w:rPr>
                <w:rFonts w:hint="eastAsia" w:ascii="原版宋体" w:hAnsi="原版宋体" w:cs="Times New Roman"/>
                <w:color w:val="000000"/>
                <w:sz w:val="20"/>
                <w:szCs w:val="20"/>
                <w:highlight w:val="none"/>
                <w:lang w:eastAsia="zh-CN"/>
              </w:rPr>
              <w:t>（</w:t>
            </w:r>
            <w:r>
              <w:rPr>
                <w:rFonts w:hint="eastAsia" w:ascii="原版宋体" w:hAnsi="原版宋体" w:cs="Times New Roman"/>
                <w:color w:val="000000"/>
                <w:sz w:val="20"/>
                <w:szCs w:val="20"/>
                <w:highlight w:val="none"/>
                <w:lang w:val="en-US" w:eastAsia="zh-CN"/>
              </w:rPr>
              <w:t>50分</w:t>
            </w:r>
            <w:r>
              <w:rPr>
                <w:rFonts w:hint="eastAsia" w:ascii="原版宋体" w:hAnsi="原版宋体" w:cs="Times New Roman"/>
                <w:color w:val="000000"/>
                <w:sz w:val="20"/>
                <w:szCs w:val="20"/>
                <w:highlight w:val="none"/>
                <w:lang w:eastAsia="zh-CN"/>
              </w:rPr>
              <w:t>）</w:t>
            </w:r>
          </w:p>
        </w:tc>
        <w:tc>
          <w:tcPr>
            <w:tcW w:w="1034" w:type="dxa"/>
            <w:vMerge w:val="restart"/>
            <w:tcBorders>
              <w:top w:val="nil"/>
              <w:left w:val="nil"/>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数量指标</w:t>
            </w:r>
          </w:p>
        </w:tc>
        <w:tc>
          <w:tcPr>
            <w:tcW w:w="12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门诊人次</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较上年有所上升</w:t>
            </w:r>
          </w:p>
        </w:tc>
        <w:tc>
          <w:tcPr>
            <w:tcW w:w="14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较上年有所上升</w:t>
            </w:r>
          </w:p>
        </w:tc>
        <w:tc>
          <w:tcPr>
            <w:tcW w:w="5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lang w:val="en-US"/>
              </w:rPr>
            </w:pPr>
            <w:r>
              <w:rPr>
                <w:rFonts w:hint="eastAsia" w:ascii="宋体" w:hAnsi="宋体" w:eastAsia="宋体" w:cs="宋体"/>
                <w:i w:val="0"/>
                <w:color w:val="000000"/>
                <w:spacing w:val="-6"/>
                <w:kern w:val="0"/>
                <w:sz w:val="20"/>
                <w:szCs w:val="20"/>
                <w:highlight w:val="none"/>
                <w:u w:val="none"/>
                <w:lang w:val="en-US" w:eastAsia="zh-CN" w:bidi="ar"/>
              </w:rPr>
              <w:t>10</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lang w:val="en-US"/>
              </w:rPr>
            </w:pPr>
            <w:r>
              <w:rPr>
                <w:rFonts w:hint="eastAsia" w:ascii="宋体" w:hAnsi="宋体" w:eastAsia="宋体" w:cs="宋体"/>
                <w:i w:val="0"/>
                <w:color w:val="000000"/>
                <w:spacing w:val="-6"/>
                <w:kern w:val="0"/>
                <w:sz w:val="20"/>
                <w:szCs w:val="20"/>
                <w:highlight w:val="none"/>
                <w:u w:val="none"/>
                <w:lang w:val="en-US" w:eastAsia="zh-CN" w:bidi="ar"/>
              </w:rPr>
              <w:t>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trHeight w:val="22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right w:val="single" w:color="auto" w:sz="4" w:space="0"/>
            </w:tcBorders>
            <w:vAlign w:val="center"/>
          </w:tcPr>
          <w:p>
            <w:pPr>
              <w:spacing w:line="240" w:lineRule="exact"/>
              <w:jc w:val="center"/>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宋体" w:hAnsi="宋体" w:eastAsia="宋体" w:cs="宋体"/>
                <w:i w:val="0"/>
                <w:color w:val="000000"/>
                <w:spacing w:val="-6"/>
                <w:kern w:val="0"/>
                <w:sz w:val="20"/>
                <w:szCs w:val="20"/>
                <w:highlight w:val="none"/>
                <w:u w:val="none"/>
                <w:lang w:val="en-US" w:eastAsia="zh-CN" w:bidi="ar"/>
              </w:rPr>
              <w:t>出院人次</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较上年有所上升</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较上年有所上升</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lang w:val="en-US" w:eastAsia="zh-CN"/>
              </w:rPr>
            </w:pPr>
            <w:r>
              <w:rPr>
                <w:rFonts w:hint="default" w:ascii="原版宋体" w:hAnsi="原版宋体" w:eastAsia="仿宋_GB2312" w:cs="Times New Roman"/>
                <w:color w:val="000000"/>
                <w:sz w:val="20"/>
                <w:szCs w:val="20"/>
                <w:highlight w:val="none"/>
              </w:rPr>
              <w:t>　</w:t>
            </w:r>
            <w:r>
              <w:rPr>
                <w:rFonts w:hint="eastAsia" w:ascii="原版宋体" w:hAnsi="原版宋体" w:cs="Times New Roman"/>
                <w:color w:val="000000"/>
                <w:sz w:val="20"/>
                <w:szCs w:val="20"/>
                <w:highlight w:val="none"/>
                <w:lang w:val="en-US" w:eastAsia="zh-CN"/>
              </w:rPr>
              <w:t>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lang w:val="en-US" w:eastAsia="zh-CN"/>
              </w:rPr>
            </w:pPr>
            <w:r>
              <w:rPr>
                <w:rFonts w:hint="default" w:ascii="原版宋体" w:hAnsi="原版宋体" w:eastAsia="仿宋_GB2312" w:cs="Times New Roman"/>
                <w:color w:val="000000"/>
                <w:sz w:val="20"/>
                <w:szCs w:val="20"/>
                <w:highlight w:val="none"/>
              </w:rPr>
              <w:t>　</w:t>
            </w:r>
            <w:r>
              <w:rPr>
                <w:rFonts w:hint="eastAsia" w:ascii="原版宋体" w:hAnsi="原版宋体" w:cs="Times New Roman"/>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trHeight w:val="367"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restart"/>
            <w:tcBorders>
              <w:top w:val="nil"/>
              <w:left w:val="nil"/>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质量指标</w:t>
            </w:r>
          </w:p>
        </w:tc>
        <w:tc>
          <w:tcPr>
            <w:tcW w:w="12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病床使用率</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lang w:val="en-US"/>
              </w:rPr>
            </w:pPr>
            <w:r>
              <w:rPr>
                <w:rFonts w:hint="eastAsia" w:ascii="宋体" w:hAnsi="宋体" w:eastAsia="宋体" w:cs="宋体"/>
                <w:i w:val="0"/>
                <w:color w:val="000000"/>
                <w:spacing w:val="-6"/>
                <w:kern w:val="0"/>
                <w:sz w:val="20"/>
                <w:szCs w:val="20"/>
                <w:highlight w:val="none"/>
                <w:u w:val="none"/>
                <w:lang w:val="en-US" w:eastAsia="zh-CN" w:bidi="ar"/>
              </w:rPr>
              <w:t>逐步提高</w:t>
            </w:r>
          </w:p>
        </w:tc>
        <w:tc>
          <w:tcPr>
            <w:tcW w:w="14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逐步提高</w:t>
            </w:r>
          </w:p>
        </w:tc>
        <w:tc>
          <w:tcPr>
            <w:tcW w:w="5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lang w:val="en-US"/>
              </w:rPr>
            </w:pPr>
            <w:r>
              <w:rPr>
                <w:rFonts w:hint="eastAsia" w:ascii="宋体" w:hAnsi="宋体" w:eastAsia="宋体" w:cs="宋体"/>
                <w:i w:val="0"/>
                <w:color w:val="000000"/>
                <w:spacing w:val="-6"/>
                <w:kern w:val="0"/>
                <w:sz w:val="20"/>
                <w:szCs w:val="20"/>
                <w:highlight w:val="none"/>
                <w:u w:val="none"/>
                <w:lang w:val="en-US" w:eastAsia="zh-CN" w:bidi="ar"/>
              </w:rPr>
              <w:t>15</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lang w:val="en-US"/>
              </w:rPr>
            </w:pPr>
            <w:r>
              <w:rPr>
                <w:rFonts w:hint="eastAsia" w:ascii="宋体" w:hAnsi="宋体" w:eastAsia="宋体" w:cs="宋体"/>
                <w:i w:val="0"/>
                <w:color w:val="000000"/>
                <w:spacing w:val="-6"/>
                <w:kern w:val="0"/>
                <w:sz w:val="20"/>
                <w:szCs w:val="20"/>
                <w:highlight w:val="none"/>
                <w:u w:val="none"/>
                <w:lang w:val="en-US" w:eastAsia="zh-CN" w:bidi="ar"/>
              </w:rPr>
              <w:t>15</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trHeight w:val="64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right w:val="single" w:color="auto" w:sz="4" w:space="0"/>
            </w:tcBorders>
            <w:vAlign w:val="center"/>
          </w:tcPr>
          <w:p>
            <w:pPr>
              <w:spacing w:line="240" w:lineRule="exact"/>
              <w:jc w:val="center"/>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auto"/>
                <w:sz w:val="20"/>
                <w:szCs w:val="20"/>
                <w:highlight w:val="none"/>
                <w:lang w:eastAsia="zh-CN"/>
              </w:rPr>
              <w:t>医疗服务收入占比</w:t>
            </w:r>
          </w:p>
        </w:tc>
        <w:tc>
          <w:tcPr>
            <w:tcW w:w="13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auto"/>
                <w:sz w:val="20"/>
                <w:szCs w:val="20"/>
                <w:highlight w:val="none"/>
                <w:lang w:eastAsia="zh-CN"/>
              </w:rPr>
              <w:t>较上年有所提升</w:t>
            </w:r>
          </w:p>
        </w:tc>
        <w:tc>
          <w:tcPr>
            <w:tcW w:w="14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auto"/>
                <w:sz w:val="20"/>
                <w:szCs w:val="20"/>
                <w:highlight w:val="none"/>
                <w:lang w:eastAsia="zh-CN"/>
              </w:rPr>
              <w:t>较上年有所提升</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color w:val="000000"/>
                <w:sz w:val="20"/>
                <w:szCs w:val="20"/>
                <w:highlight w:val="none"/>
                <w:lang w:val="en-US"/>
              </w:rPr>
            </w:pPr>
            <w:r>
              <w:rPr>
                <w:rFonts w:hint="eastAsia" w:asciiTheme="minorEastAsia" w:hAnsiTheme="minorEastAsia" w:eastAsiaTheme="minorEastAsia" w:cstheme="minorEastAsia"/>
                <w:color w:val="auto"/>
                <w:sz w:val="20"/>
                <w:szCs w:val="20"/>
                <w:highlight w:val="none"/>
                <w:lang w:val="en-US" w:eastAsia="zh-CN"/>
              </w:rPr>
              <w:t>15</w:t>
            </w: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color w:val="000000"/>
                <w:sz w:val="20"/>
                <w:szCs w:val="20"/>
                <w:highlight w:val="none"/>
                <w:lang w:val="en-US"/>
              </w:rPr>
            </w:pPr>
            <w:r>
              <w:rPr>
                <w:rFonts w:hint="eastAsia" w:asciiTheme="minorEastAsia" w:hAnsiTheme="minorEastAsia" w:eastAsiaTheme="minorEastAsia" w:cstheme="minorEastAsia"/>
                <w:color w:val="auto"/>
                <w:sz w:val="20"/>
                <w:szCs w:val="20"/>
                <w:highlight w:val="none"/>
                <w:lang w:val="en-US" w:eastAsia="zh-CN"/>
              </w:rPr>
              <w:t>15</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restart"/>
            <w:tcBorders>
              <w:top w:val="nil"/>
              <w:left w:val="nil"/>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时效指标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right w:val="single" w:color="auto" w:sz="4" w:space="0"/>
            </w:tcBorders>
            <w:vAlign w:val="center"/>
          </w:tcPr>
          <w:p>
            <w:pPr>
              <w:spacing w:line="240" w:lineRule="exact"/>
              <w:jc w:val="center"/>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restart"/>
            <w:tcBorders>
              <w:top w:val="nil"/>
              <w:left w:val="nil"/>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成本指标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restart"/>
            <w:tcBorders>
              <w:top w:val="nil"/>
              <w:left w:val="nil"/>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效益指标</w:t>
            </w:r>
          </w:p>
          <w:p>
            <w:pPr>
              <w:widowControl/>
              <w:spacing w:line="240" w:lineRule="exact"/>
              <w:jc w:val="left"/>
              <w:rPr>
                <w:rFonts w:hint="default" w:ascii="原版宋体" w:hAnsi="原版宋体" w:eastAsia="仿宋_GB2312" w:cs="Times New Roman"/>
                <w:color w:val="000000"/>
                <w:sz w:val="20"/>
                <w:szCs w:val="20"/>
                <w:highlight w:val="none"/>
              </w:rPr>
            </w:pPr>
          </w:p>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（30分）</w:t>
            </w:r>
          </w:p>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034" w:type="dxa"/>
            <w:vMerge w:val="restart"/>
            <w:tcBorders>
              <w:top w:val="nil"/>
              <w:left w:val="nil"/>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经济效</w:t>
            </w:r>
          </w:p>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益指标</w:t>
            </w:r>
          </w:p>
        </w:tc>
        <w:tc>
          <w:tcPr>
            <w:tcW w:w="12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门诊患者次均医药费用</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较上年下降</w:t>
            </w:r>
          </w:p>
        </w:tc>
        <w:tc>
          <w:tcPr>
            <w:tcW w:w="14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较上年下降</w:t>
            </w:r>
          </w:p>
        </w:tc>
        <w:tc>
          <w:tcPr>
            <w:tcW w:w="5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lang w:val="en-US"/>
              </w:rPr>
            </w:pPr>
            <w:r>
              <w:rPr>
                <w:rFonts w:hint="eastAsia" w:ascii="宋体" w:hAnsi="宋体" w:eastAsia="宋体" w:cs="宋体"/>
                <w:i w:val="0"/>
                <w:color w:val="000000"/>
                <w:spacing w:val="-6"/>
                <w:kern w:val="0"/>
                <w:sz w:val="20"/>
                <w:szCs w:val="20"/>
                <w:highlight w:val="none"/>
                <w:u w:val="none"/>
                <w:lang w:val="en-US" w:eastAsia="zh-CN" w:bidi="ar"/>
              </w:rPr>
              <w:t>5</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lang w:val="en-US"/>
              </w:rPr>
            </w:pPr>
            <w:r>
              <w:rPr>
                <w:rFonts w:hint="eastAsia" w:ascii="宋体" w:hAnsi="宋体" w:eastAsia="宋体" w:cs="宋体"/>
                <w:i w:val="0"/>
                <w:color w:val="000000"/>
                <w:spacing w:val="-6"/>
                <w:kern w:val="0"/>
                <w:sz w:val="20"/>
                <w:szCs w:val="20"/>
                <w:highlight w:val="none"/>
                <w:u w:val="none"/>
                <w:lang w:val="en-US" w:eastAsia="zh-CN" w:bidi="ar"/>
              </w:rPr>
              <w:t>5</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trHeight w:val="415"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right w:val="single" w:color="auto" w:sz="4" w:space="0"/>
            </w:tcBorders>
            <w:vAlign w:val="center"/>
          </w:tcPr>
          <w:p>
            <w:pPr>
              <w:spacing w:line="240" w:lineRule="exact"/>
              <w:jc w:val="center"/>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住院患者次均医药费用</w:t>
            </w:r>
          </w:p>
        </w:tc>
        <w:tc>
          <w:tcPr>
            <w:tcW w:w="13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kern w:val="0"/>
                <w:sz w:val="20"/>
                <w:szCs w:val="20"/>
                <w:highlight w:val="none"/>
                <w:lang w:eastAsia="zh-CN"/>
              </w:rPr>
            </w:pPr>
            <w:r>
              <w:rPr>
                <w:rFonts w:hint="eastAsia" w:ascii="宋体" w:hAnsi="宋体" w:eastAsia="宋体" w:cs="宋体"/>
                <w:i w:val="0"/>
                <w:color w:val="000000"/>
                <w:spacing w:val="-6"/>
                <w:kern w:val="0"/>
                <w:sz w:val="20"/>
                <w:szCs w:val="20"/>
                <w:highlight w:val="none"/>
                <w:u w:val="none"/>
                <w:lang w:val="en-US" w:eastAsia="zh-CN" w:bidi="ar"/>
              </w:rPr>
              <w:t>较上年下降</w:t>
            </w:r>
          </w:p>
        </w:tc>
        <w:tc>
          <w:tcPr>
            <w:tcW w:w="14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val="en-US" w:eastAsia="zh-CN"/>
              </w:rPr>
              <w:t>较上年有所上升</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5</w:t>
            </w: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right w:val="single" w:color="auto" w:sz="4" w:space="0"/>
            </w:tcBorders>
            <w:vAlign w:val="center"/>
          </w:tcPr>
          <w:p>
            <w:pPr>
              <w:spacing w:line="240" w:lineRule="exact"/>
              <w:jc w:val="center"/>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auto"/>
                <w:kern w:val="0"/>
                <w:sz w:val="20"/>
                <w:szCs w:val="20"/>
                <w:highlight w:val="none"/>
              </w:rPr>
              <w:t>药占比(不含中药饮片)</w:t>
            </w:r>
          </w:p>
        </w:tc>
        <w:tc>
          <w:tcPr>
            <w:tcW w:w="13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auto"/>
                <w:kern w:val="0"/>
                <w:sz w:val="20"/>
                <w:szCs w:val="20"/>
                <w:highlight w:val="none"/>
                <w:lang w:eastAsia="zh-CN"/>
              </w:rPr>
              <w:t>较上年有所下降</w:t>
            </w:r>
          </w:p>
        </w:tc>
        <w:tc>
          <w:tcPr>
            <w:tcW w:w="14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auto"/>
                <w:kern w:val="0"/>
                <w:sz w:val="20"/>
                <w:szCs w:val="20"/>
                <w:highlight w:val="none"/>
                <w:lang w:eastAsia="zh-CN"/>
              </w:rPr>
              <w:t>较上年有所下降</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t>5</w:t>
            </w:r>
          </w:p>
        </w:tc>
        <w:tc>
          <w:tcPr>
            <w:tcW w:w="8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t>5</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Theme="minorEastAsia" w:hAnsiTheme="minorEastAsia" w:eastAsiaTheme="minorEastAsia" w:cstheme="minorEastAsia"/>
                <w:color w:val="auto"/>
                <w:kern w:val="0"/>
                <w:sz w:val="20"/>
                <w:szCs w:val="20"/>
                <w:highlight w:val="none"/>
              </w:rPr>
              <w:t>百元医疗收入（不含药品收入）中消耗的卫生材料(元)</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eastAsia" w:asciiTheme="minorEastAsia" w:hAnsiTheme="minorEastAsia" w:eastAsiaTheme="minorEastAsia" w:cstheme="minorEastAsia"/>
                <w:color w:val="auto"/>
                <w:kern w:val="0"/>
                <w:sz w:val="20"/>
                <w:szCs w:val="20"/>
                <w:highlight w:val="none"/>
                <w:lang w:eastAsia="zh-CN"/>
              </w:rPr>
              <w:t>较上年有所下降</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较上年有所上升</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eastAsia" w:ascii="原版宋体" w:hAnsi="原版宋体" w:eastAsia="仿宋_GB2312" w:cs="Times New Roman"/>
                <w:color w:val="000000"/>
                <w:sz w:val="20"/>
                <w:szCs w:val="20"/>
                <w:highlight w:val="none"/>
                <w:lang w:val="en-US" w:eastAsia="zh-CN"/>
              </w:rPr>
            </w:pPr>
            <w:r>
              <w:rPr>
                <w:rFonts w:hint="default" w:ascii="原版宋体" w:hAnsi="原版宋体" w:eastAsia="仿宋_GB2312" w:cs="Times New Roman"/>
                <w:color w:val="000000"/>
                <w:sz w:val="20"/>
                <w:szCs w:val="20"/>
                <w:highlight w:val="none"/>
              </w:rPr>
              <w:t>　</w:t>
            </w:r>
            <w:r>
              <w:rPr>
                <w:rFonts w:hint="eastAsia" w:ascii="原版宋体" w:hAnsi="原版宋体" w:cs="Times New Roman"/>
                <w:color w:val="000000"/>
                <w:sz w:val="20"/>
                <w:szCs w:val="20"/>
                <w:highlight w:val="none"/>
                <w:lang w:val="en-US" w:eastAsia="zh-CN"/>
              </w:rPr>
              <w:t>5</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eastAsia" w:ascii="原版宋体" w:hAnsi="原版宋体" w:eastAsia="仿宋_GB2312" w:cs="Times New Roman"/>
                <w:color w:val="000000"/>
                <w:sz w:val="20"/>
                <w:szCs w:val="20"/>
                <w:highlight w:val="none"/>
                <w:lang w:val="en-US" w:eastAsia="zh-CN"/>
              </w:rPr>
            </w:pPr>
            <w:r>
              <w:rPr>
                <w:rFonts w:hint="default" w:ascii="原版宋体" w:hAnsi="原版宋体" w:eastAsia="仿宋_GB2312" w:cs="Times New Roman"/>
                <w:color w:val="000000"/>
                <w:sz w:val="20"/>
                <w:szCs w:val="20"/>
                <w:highlight w:val="none"/>
              </w:rPr>
              <w:t>　</w:t>
            </w:r>
            <w:r>
              <w:rPr>
                <w:rFonts w:hint="eastAsia" w:ascii="原版宋体" w:hAnsi="原版宋体" w:cs="Times New Roman"/>
                <w:color w:val="000000"/>
                <w:sz w:val="20"/>
                <w:szCs w:val="20"/>
                <w:highlight w:val="none"/>
                <w:lang w:val="en-US" w:eastAsia="zh-CN"/>
              </w:rPr>
              <w:t>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restart"/>
            <w:tcBorders>
              <w:top w:val="nil"/>
              <w:left w:val="nil"/>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社会效</w:t>
            </w:r>
          </w:p>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原版宋体" w:hAnsi="原版宋体" w:eastAsia="仿宋_GB2312" w:cs="Times New Roman"/>
                <w:color w:val="000000"/>
                <w:spacing w:val="-6"/>
                <w:kern w:val="2"/>
                <w:sz w:val="20"/>
                <w:szCs w:val="20"/>
                <w:highlight w:val="none"/>
                <w:lang w:val="en-US" w:eastAsia="zh-CN" w:bidi="ar-SA"/>
              </w:rPr>
            </w:pPr>
            <w:r>
              <w:rPr>
                <w:rFonts w:hint="eastAsia" w:ascii="宋体" w:hAnsi="宋体" w:eastAsia="宋体" w:cs="宋体"/>
                <w:i w:val="0"/>
                <w:color w:val="000000"/>
                <w:spacing w:val="-6"/>
                <w:kern w:val="0"/>
                <w:sz w:val="20"/>
                <w:szCs w:val="20"/>
                <w:highlight w:val="none"/>
                <w:u w:val="none"/>
                <w:lang w:val="en-US" w:eastAsia="zh-CN" w:bidi="ar"/>
              </w:rPr>
              <w:t>提升医疗服务水平</w:t>
            </w:r>
          </w:p>
        </w:tc>
        <w:tc>
          <w:tcPr>
            <w:tcW w:w="13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原版宋体" w:hAnsi="原版宋体" w:eastAsia="仿宋_GB2312" w:cs="Times New Roman"/>
                <w:color w:val="000000"/>
                <w:spacing w:val="-6"/>
                <w:kern w:val="2"/>
                <w:sz w:val="20"/>
                <w:szCs w:val="20"/>
                <w:highlight w:val="none"/>
                <w:lang w:val="en-US" w:eastAsia="zh-CN" w:bidi="ar-SA"/>
              </w:rPr>
            </w:pPr>
            <w:r>
              <w:rPr>
                <w:rFonts w:hint="eastAsia" w:ascii="宋体" w:hAnsi="宋体" w:eastAsia="宋体" w:cs="宋体"/>
                <w:i w:val="0"/>
                <w:color w:val="000000"/>
                <w:spacing w:val="-6"/>
                <w:kern w:val="0"/>
                <w:sz w:val="20"/>
                <w:szCs w:val="20"/>
                <w:highlight w:val="none"/>
                <w:u w:val="none"/>
                <w:lang w:val="en-US" w:eastAsia="zh-CN" w:bidi="ar"/>
              </w:rPr>
              <w:t>逐步提升</w:t>
            </w:r>
          </w:p>
        </w:tc>
        <w:tc>
          <w:tcPr>
            <w:tcW w:w="1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原版宋体" w:hAnsi="原版宋体" w:eastAsia="仿宋_GB2312" w:cs="Times New Roman"/>
                <w:color w:val="000000"/>
                <w:spacing w:val="-6"/>
                <w:kern w:val="2"/>
                <w:sz w:val="20"/>
                <w:szCs w:val="20"/>
                <w:highlight w:val="none"/>
                <w:lang w:val="en-US" w:eastAsia="zh-CN" w:bidi="ar-SA"/>
              </w:rPr>
            </w:pPr>
            <w:r>
              <w:rPr>
                <w:rFonts w:hint="eastAsia" w:ascii="宋体" w:hAnsi="宋体" w:eastAsia="宋体" w:cs="宋体"/>
                <w:i w:val="0"/>
                <w:color w:val="000000"/>
                <w:spacing w:val="-6"/>
                <w:kern w:val="0"/>
                <w:sz w:val="20"/>
                <w:szCs w:val="20"/>
                <w:highlight w:val="none"/>
                <w:u w:val="none"/>
                <w:lang w:val="en-US" w:eastAsia="zh-CN" w:bidi="ar"/>
              </w:rPr>
              <w:t>逐步提升</w:t>
            </w:r>
          </w:p>
        </w:tc>
        <w:tc>
          <w:tcPr>
            <w:tcW w:w="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原版宋体" w:hAnsi="原版宋体" w:eastAsia="仿宋_GB2312" w:cs="Times New Roman"/>
                <w:color w:val="000000"/>
                <w:spacing w:val="-6"/>
                <w:kern w:val="2"/>
                <w:sz w:val="20"/>
                <w:szCs w:val="20"/>
                <w:highlight w:val="none"/>
                <w:lang w:val="en-US" w:eastAsia="zh-CN" w:bidi="ar-SA"/>
              </w:rPr>
            </w:pPr>
            <w:r>
              <w:rPr>
                <w:rFonts w:hint="eastAsia" w:ascii="宋体" w:hAnsi="宋体" w:eastAsia="宋体" w:cs="宋体"/>
                <w:i w:val="0"/>
                <w:color w:val="000000"/>
                <w:spacing w:val="-6"/>
                <w:kern w:val="0"/>
                <w:sz w:val="20"/>
                <w:szCs w:val="20"/>
                <w:highlight w:val="none"/>
                <w:u w:val="none"/>
                <w:lang w:val="en-US" w:eastAsia="zh-CN" w:bidi="ar"/>
              </w:rPr>
              <w:t>5</w:t>
            </w:r>
          </w:p>
        </w:tc>
        <w:tc>
          <w:tcPr>
            <w:tcW w:w="8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原版宋体" w:hAnsi="原版宋体" w:eastAsia="仿宋_GB2312" w:cs="Times New Roman"/>
                <w:color w:val="000000"/>
                <w:spacing w:val="-6"/>
                <w:kern w:val="2"/>
                <w:sz w:val="20"/>
                <w:szCs w:val="20"/>
                <w:highlight w:val="none"/>
                <w:lang w:val="en-US" w:eastAsia="zh-CN" w:bidi="ar-SA"/>
              </w:rPr>
            </w:pPr>
            <w:r>
              <w:rPr>
                <w:rFonts w:hint="eastAsia" w:ascii="宋体" w:hAnsi="宋体" w:eastAsia="宋体" w:cs="宋体"/>
                <w:i w:val="0"/>
                <w:color w:val="000000"/>
                <w:spacing w:val="-6"/>
                <w:kern w:val="0"/>
                <w:sz w:val="20"/>
                <w:szCs w:val="20"/>
                <w:highlight w:val="none"/>
                <w:u w:val="none"/>
                <w:lang w:val="en-US" w:eastAsia="zh-CN" w:bidi="ar"/>
              </w:rPr>
              <w:t>5</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right w:val="single" w:color="auto" w:sz="4" w:space="0"/>
            </w:tcBorders>
            <w:vAlign w:val="center"/>
          </w:tcPr>
          <w:p>
            <w:pPr>
              <w:spacing w:line="240" w:lineRule="exact"/>
              <w:jc w:val="center"/>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restart"/>
            <w:tcBorders>
              <w:top w:val="nil"/>
              <w:left w:val="nil"/>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生态效</w:t>
            </w:r>
          </w:p>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益指标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10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auto"/>
                <w:sz w:val="20"/>
                <w:szCs w:val="20"/>
                <w:highlight w:val="none"/>
                <w:lang w:eastAsia="zh-CN"/>
              </w:rPr>
              <w:t>实现年度收支平衡</w:t>
            </w:r>
          </w:p>
        </w:tc>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auto"/>
                <w:sz w:val="20"/>
                <w:szCs w:val="20"/>
                <w:highlight w:val="none"/>
                <w:lang w:eastAsia="zh-CN"/>
              </w:rPr>
              <w:t>收支结余为正数</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auto"/>
                <w:sz w:val="20"/>
                <w:szCs w:val="20"/>
                <w:highlight w:val="none"/>
                <w:lang w:eastAsia="zh-CN"/>
              </w:rPr>
              <w:t>收支结余为正数</w:t>
            </w:r>
          </w:p>
        </w:tc>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sz w:val="20"/>
                <w:szCs w:val="20"/>
                <w:highlight w:val="none"/>
                <w:lang w:val="en-US"/>
              </w:rPr>
            </w:pPr>
            <w:r>
              <w:rPr>
                <w:rFonts w:hint="eastAsia" w:asciiTheme="minorEastAsia" w:hAnsiTheme="minorEastAsia" w:eastAsiaTheme="minorEastAsia" w:cstheme="minorEastAsia"/>
                <w:color w:val="auto"/>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restart"/>
            <w:tcBorders>
              <w:top w:val="nil"/>
              <w:left w:val="nil"/>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满意度</w:t>
            </w:r>
          </w:p>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指标</w:t>
            </w:r>
          </w:p>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（10分）</w:t>
            </w:r>
          </w:p>
        </w:tc>
        <w:tc>
          <w:tcPr>
            <w:tcW w:w="1034" w:type="dxa"/>
            <w:vMerge w:val="restart"/>
            <w:tcBorders>
              <w:top w:val="nil"/>
              <w:left w:val="nil"/>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服务对象满意度指标</w:t>
            </w:r>
          </w:p>
        </w:tc>
        <w:tc>
          <w:tcPr>
            <w:tcW w:w="12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患者满意度</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≥90%</w:t>
            </w:r>
          </w:p>
        </w:tc>
        <w:tc>
          <w:tcPr>
            <w:tcW w:w="14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≥90%</w:t>
            </w:r>
          </w:p>
        </w:tc>
        <w:tc>
          <w:tcPr>
            <w:tcW w:w="5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10</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原版宋体" w:hAnsi="原版宋体" w:eastAsia="仿宋_GB2312" w:cs="Times New Roman"/>
                <w:color w:val="000000"/>
                <w:sz w:val="20"/>
                <w:szCs w:val="20"/>
                <w:highlight w:val="none"/>
              </w:rPr>
            </w:pPr>
            <w:r>
              <w:rPr>
                <w:rFonts w:hint="eastAsia" w:ascii="宋体" w:hAnsi="宋体" w:eastAsia="宋体" w:cs="宋体"/>
                <w:i w:val="0"/>
                <w:color w:val="000000"/>
                <w:spacing w:val="-6"/>
                <w:kern w:val="0"/>
                <w:sz w:val="20"/>
                <w:szCs w:val="20"/>
                <w:highlight w:val="none"/>
                <w:u w:val="none"/>
                <w:lang w:val="en-US" w:eastAsia="zh-CN" w:bidi="ar"/>
              </w:rPr>
              <w:t>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right w:val="single" w:color="auto" w:sz="4" w:space="0"/>
            </w:tcBorders>
            <w:vAlign w:val="center"/>
          </w:tcPr>
          <w:p>
            <w:pPr>
              <w:spacing w:line="240" w:lineRule="exact"/>
              <w:jc w:val="left"/>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1034" w:type="dxa"/>
            <w:vMerge w:val="continue"/>
            <w:tcBorders>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10"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575"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7185"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总分</w:t>
            </w:r>
          </w:p>
        </w:tc>
        <w:tc>
          <w:tcPr>
            <w:tcW w:w="575" w:type="dxa"/>
            <w:tcBorders>
              <w:top w:val="nil"/>
              <w:left w:val="nil"/>
              <w:bottom w:val="single" w:color="auto" w:sz="4" w:space="0"/>
              <w:right w:val="single" w:color="auto" w:sz="4" w:space="0"/>
            </w:tcBorders>
            <w:vAlign w:val="center"/>
          </w:tcPr>
          <w:p>
            <w:pPr>
              <w:widowControl/>
              <w:spacing w:line="240" w:lineRule="exact"/>
              <w:jc w:val="center"/>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100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lang w:val="en-US" w:eastAsia="zh-CN"/>
              </w:rPr>
            </w:pPr>
            <w:r>
              <w:rPr>
                <w:rFonts w:hint="default" w:ascii="原版宋体" w:hAnsi="原版宋体" w:eastAsia="仿宋_GB2312" w:cs="Times New Roman"/>
                <w:color w:val="000000"/>
                <w:sz w:val="20"/>
                <w:szCs w:val="20"/>
                <w:highlight w:val="none"/>
              </w:rPr>
              <w:t>　</w:t>
            </w:r>
            <w:r>
              <w:rPr>
                <w:rFonts w:hint="eastAsia" w:ascii="原版宋体" w:hAnsi="原版宋体" w:cs="Times New Roman"/>
                <w:color w:val="000000"/>
                <w:sz w:val="20"/>
                <w:szCs w:val="20"/>
                <w:highlight w:val="none"/>
                <w:lang w:val="en-US" w:eastAsia="zh-CN"/>
              </w:rPr>
              <w:t>88.5</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hint="default" w:ascii="原版宋体" w:hAnsi="原版宋体" w:eastAsia="仿宋_GB2312" w:cs="Times New Roman"/>
                <w:color w:val="000000"/>
                <w:sz w:val="20"/>
                <w:szCs w:val="20"/>
                <w:highlight w:val="none"/>
              </w:rPr>
            </w:pPr>
            <w:r>
              <w:rPr>
                <w:rFonts w:hint="default" w:ascii="原版宋体" w:hAnsi="原版宋体" w:eastAsia="仿宋_GB2312" w:cs="Times New Roman"/>
                <w:color w:val="000000"/>
                <w:sz w:val="20"/>
                <w:szCs w:val="20"/>
                <w:highlight w:val="none"/>
              </w:rPr>
              <w:t>　</w:t>
            </w:r>
          </w:p>
        </w:tc>
      </w:tr>
    </w:tbl>
    <w:p>
      <w:pPr>
        <w:rPr>
          <w:highlight w:val="none"/>
        </w:rPr>
      </w:pPr>
    </w:p>
    <w:p>
      <w:pPr>
        <w:keepNext w:val="0"/>
        <w:keepLines w:val="0"/>
        <w:pageBreakBefore w:val="0"/>
        <w:widowControl/>
        <w:kinsoku/>
        <w:wordWrap/>
        <w:overflowPunct/>
        <w:topLinePunct w:val="0"/>
        <w:bidi w:val="0"/>
        <w:snapToGrid/>
        <w:spacing w:line="240" w:lineRule="auto"/>
        <w:ind w:firstLine="660"/>
        <w:textAlignment w:val="auto"/>
        <w:outlineLvl w:val="9"/>
        <w:rPr>
          <w:rFonts w:hint="eastAsia" w:ascii="Times New Roman" w:hAnsi="Times New Roman" w:eastAsia="仿宋_GB2312" w:cs="黑体"/>
          <w:color w:val="auto"/>
          <w:kern w:val="0"/>
          <w:sz w:val="32"/>
          <w:szCs w:val="32"/>
          <w:highlight w:val="none"/>
          <w:lang w:val="en-US" w:eastAsia="zh-CN" w:bidi="ar-SA"/>
        </w:rPr>
      </w:pPr>
    </w:p>
    <w:p>
      <w:pPr>
        <w:jc w:val="left"/>
        <w:rPr>
          <w:rFonts w:ascii="Times New Roman" w:hAnsi="Times New Roman" w:cs="Times New Roman"/>
          <w:color w:val="000000"/>
          <w:kern w:val="0"/>
          <w:sz w:val="32"/>
          <w:szCs w:val="32"/>
          <w:highlight w:val="none"/>
        </w:rPr>
      </w:pPr>
    </w:p>
    <w:sectPr>
      <w:pgSz w:w="11906" w:h="16838"/>
      <w:pgMar w:top="1361"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原版宋体">
    <w:altName w:val="宋体"/>
    <w:panose1 w:val="02010600030101010101"/>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0748E"/>
    <w:multiLevelType w:val="singleLevel"/>
    <w:tmpl w:val="9B60748E"/>
    <w:lvl w:ilvl="0" w:tentative="0">
      <w:start w:val="1"/>
      <w:numFmt w:val="decimal"/>
      <w:suff w:val="nothing"/>
      <w:lvlText w:val="（%1）"/>
      <w:lvlJc w:val="left"/>
    </w:lvl>
  </w:abstractNum>
  <w:abstractNum w:abstractNumId="1">
    <w:nsid w:val="A65636A4"/>
    <w:multiLevelType w:val="singleLevel"/>
    <w:tmpl w:val="A65636A4"/>
    <w:lvl w:ilvl="0" w:tentative="0">
      <w:start w:val="3"/>
      <w:numFmt w:val="decimal"/>
      <w:suff w:val="nothing"/>
      <w:lvlText w:val="%1、"/>
      <w:lvlJc w:val="left"/>
    </w:lvl>
  </w:abstractNum>
  <w:abstractNum w:abstractNumId="2">
    <w:nsid w:val="7901D469"/>
    <w:multiLevelType w:val="singleLevel"/>
    <w:tmpl w:val="7901D46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Y2NlYzE2NjE4ZmQyZGY0ODgzNjdlMjJiYTFkMjUifQ=="/>
  </w:docVars>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113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3490"/>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761E20"/>
    <w:rsid w:val="02076DD4"/>
    <w:rsid w:val="026305F6"/>
    <w:rsid w:val="026B4CEC"/>
    <w:rsid w:val="02724157"/>
    <w:rsid w:val="029215E6"/>
    <w:rsid w:val="02DF57A3"/>
    <w:rsid w:val="03BB41F9"/>
    <w:rsid w:val="03FD4132"/>
    <w:rsid w:val="041A162E"/>
    <w:rsid w:val="042C7070"/>
    <w:rsid w:val="045A3333"/>
    <w:rsid w:val="04914B02"/>
    <w:rsid w:val="04EB6681"/>
    <w:rsid w:val="05524952"/>
    <w:rsid w:val="056401E1"/>
    <w:rsid w:val="060774EA"/>
    <w:rsid w:val="068C6226"/>
    <w:rsid w:val="06964E70"/>
    <w:rsid w:val="06BF7DC5"/>
    <w:rsid w:val="06EE2458"/>
    <w:rsid w:val="0708351A"/>
    <w:rsid w:val="076369A2"/>
    <w:rsid w:val="07AF7E3A"/>
    <w:rsid w:val="07B37C1F"/>
    <w:rsid w:val="07E32683"/>
    <w:rsid w:val="08017F69"/>
    <w:rsid w:val="08BD47AD"/>
    <w:rsid w:val="08ED62FB"/>
    <w:rsid w:val="093525C0"/>
    <w:rsid w:val="09685ACD"/>
    <w:rsid w:val="096A5973"/>
    <w:rsid w:val="098D41AA"/>
    <w:rsid w:val="09960A53"/>
    <w:rsid w:val="09A432A2"/>
    <w:rsid w:val="09E10D43"/>
    <w:rsid w:val="0A1026E6"/>
    <w:rsid w:val="0ADD2F10"/>
    <w:rsid w:val="0AF22D2F"/>
    <w:rsid w:val="0B204882"/>
    <w:rsid w:val="0B59720D"/>
    <w:rsid w:val="0BDC6D23"/>
    <w:rsid w:val="0C0A5403"/>
    <w:rsid w:val="0C2A7A8F"/>
    <w:rsid w:val="0C2C1C73"/>
    <w:rsid w:val="0C6D1992"/>
    <w:rsid w:val="0CCC4FB6"/>
    <w:rsid w:val="0CDF4D1D"/>
    <w:rsid w:val="0D3443CA"/>
    <w:rsid w:val="0D535541"/>
    <w:rsid w:val="0D9F57C0"/>
    <w:rsid w:val="0DA8327A"/>
    <w:rsid w:val="0DBC0BBA"/>
    <w:rsid w:val="0DDC125D"/>
    <w:rsid w:val="0E2D7D0A"/>
    <w:rsid w:val="0E5B4877"/>
    <w:rsid w:val="0E71322E"/>
    <w:rsid w:val="0E912276"/>
    <w:rsid w:val="0E975183"/>
    <w:rsid w:val="0EB74BA0"/>
    <w:rsid w:val="0ECA5559"/>
    <w:rsid w:val="0F4831E4"/>
    <w:rsid w:val="0F8B02EB"/>
    <w:rsid w:val="0F9421FA"/>
    <w:rsid w:val="0FF3195A"/>
    <w:rsid w:val="10303AE2"/>
    <w:rsid w:val="10417A9D"/>
    <w:rsid w:val="10991687"/>
    <w:rsid w:val="10C77FA2"/>
    <w:rsid w:val="10D95F27"/>
    <w:rsid w:val="112E0021"/>
    <w:rsid w:val="11793591"/>
    <w:rsid w:val="11D230A2"/>
    <w:rsid w:val="11D460F8"/>
    <w:rsid w:val="120668A8"/>
    <w:rsid w:val="12260CF8"/>
    <w:rsid w:val="12AB744F"/>
    <w:rsid w:val="12D93FBD"/>
    <w:rsid w:val="131B2827"/>
    <w:rsid w:val="136747E5"/>
    <w:rsid w:val="13AA27C0"/>
    <w:rsid w:val="140E2115"/>
    <w:rsid w:val="14112650"/>
    <w:rsid w:val="146B158C"/>
    <w:rsid w:val="147C119C"/>
    <w:rsid w:val="14943AA4"/>
    <w:rsid w:val="14B2692E"/>
    <w:rsid w:val="14C92465"/>
    <w:rsid w:val="14DB60FF"/>
    <w:rsid w:val="15475A17"/>
    <w:rsid w:val="16A82624"/>
    <w:rsid w:val="172016ED"/>
    <w:rsid w:val="17321D41"/>
    <w:rsid w:val="175400B6"/>
    <w:rsid w:val="178B76A4"/>
    <w:rsid w:val="17B84AE8"/>
    <w:rsid w:val="17F04282"/>
    <w:rsid w:val="17F27CB6"/>
    <w:rsid w:val="180B62BF"/>
    <w:rsid w:val="18251A52"/>
    <w:rsid w:val="18484256"/>
    <w:rsid w:val="18754787"/>
    <w:rsid w:val="189646A7"/>
    <w:rsid w:val="189F06F8"/>
    <w:rsid w:val="18D94D16"/>
    <w:rsid w:val="18E629FF"/>
    <w:rsid w:val="190134B3"/>
    <w:rsid w:val="19D13C3F"/>
    <w:rsid w:val="19EF5643"/>
    <w:rsid w:val="1A4408B5"/>
    <w:rsid w:val="1A4B1C44"/>
    <w:rsid w:val="1A8962C8"/>
    <w:rsid w:val="1A8A4074"/>
    <w:rsid w:val="1AE479A2"/>
    <w:rsid w:val="1B100797"/>
    <w:rsid w:val="1B6B1E72"/>
    <w:rsid w:val="1B727AC5"/>
    <w:rsid w:val="1B9F790C"/>
    <w:rsid w:val="1BB47375"/>
    <w:rsid w:val="1BC5537A"/>
    <w:rsid w:val="1BC77642"/>
    <w:rsid w:val="1C033E58"/>
    <w:rsid w:val="1C297D63"/>
    <w:rsid w:val="1C3672E7"/>
    <w:rsid w:val="1C43595F"/>
    <w:rsid w:val="1C5B5E8D"/>
    <w:rsid w:val="1C756F33"/>
    <w:rsid w:val="1C84143D"/>
    <w:rsid w:val="1D2422D8"/>
    <w:rsid w:val="1D4271E3"/>
    <w:rsid w:val="1D7A45EE"/>
    <w:rsid w:val="1D97DEFF"/>
    <w:rsid w:val="1D9E6319"/>
    <w:rsid w:val="1DE026A3"/>
    <w:rsid w:val="1DFF72E5"/>
    <w:rsid w:val="1E0112F9"/>
    <w:rsid w:val="1E354B54"/>
    <w:rsid w:val="1EB63404"/>
    <w:rsid w:val="1ECB3353"/>
    <w:rsid w:val="1EE414EF"/>
    <w:rsid w:val="1EE937D9"/>
    <w:rsid w:val="1EFC6F07"/>
    <w:rsid w:val="1FCB77B8"/>
    <w:rsid w:val="1FDE0E64"/>
    <w:rsid w:val="20250841"/>
    <w:rsid w:val="20450EE3"/>
    <w:rsid w:val="206770AC"/>
    <w:rsid w:val="208C1759"/>
    <w:rsid w:val="20980A0B"/>
    <w:rsid w:val="209D0D1F"/>
    <w:rsid w:val="20C95670"/>
    <w:rsid w:val="20F63F8C"/>
    <w:rsid w:val="213056EF"/>
    <w:rsid w:val="21787096"/>
    <w:rsid w:val="21C30312"/>
    <w:rsid w:val="21D45042"/>
    <w:rsid w:val="21FC1A76"/>
    <w:rsid w:val="22230DB0"/>
    <w:rsid w:val="226F3FF6"/>
    <w:rsid w:val="229B303C"/>
    <w:rsid w:val="22A243CB"/>
    <w:rsid w:val="22DB78DD"/>
    <w:rsid w:val="231A0405"/>
    <w:rsid w:val="232474D6"/>
    <w:rsid w:val="232748D0"/>
    <w:rsid w:val="235B53C5"/>
    <w:rsid w:val="235C0A1E"/>
    <w:rsid w:val="235C6C70"/>
    <w:rsid w:val="236B0C61"/>
    <w:rsid w:val="23D42CAA"/>
    <w:rsid w:val="23E9602A"/>
    <w:rsid w:val="24062D32"/>
    <w:rsid w:val="243C25FD"/>
    <w:rsid w:val="247E49C4"/>
    <w:rsid w:val="248D2E59"/>
    <w:rsid w:val="24957F3E"/>
    <w:rsid w:val="24AD52A9"/>
    <w:rsid w:val="250A04FE"/>
    <w:rsid w:val="250A26FB"/>
    <w:rsid w:val="25276E09"/>
    <w:rsid w:val="25D64F3F"/>
    <w:rsid w:val="25E42F4C"/>
    <w:rsid w:val="25FA0384"/>
    <w:rsid w:val="26122D03"/>
    <w:rsid w:val="26327F08"/>
    <w:rsid w:val="264433A9"/>
    <w:rsid w:val="26720D2B"/>
    <w:rsid w:val="26920708"/>
    <w:rsid w:val="26B02E2F"/>
    <w:rsid w:val="26CD578F"/>
    <w:rsid w:val="271C2272"/>
    <w:rsid w:val="271D04C4"/>
    <w:rsid w:val="27545EB0"/>
    <w:rsid w:val="27960276"/>
    <w:rsid w:val="27D72C7E"/>
    <w:rsid w:val="28610884"/>
    <w:rsid w:val="287700A8"/>
    <w:rsid w:val="28771E56"/>
    <w:rsid w:val="29115E06"/>
    <w:rsid w:val="2940493E"/>
    <w:rsid w:val="297840D8"/>
    <w:rsid w:val="297A0522"/>
    <w:rsid w:val="29A5570A"/>
    <w:rsid w:val="2A524929"/>
    <w:rsid w:val="2A946CEF"/>
    <w:rsid w:val="2B0A5203"/>
    <w:rsid w:val="2B3C1135"/>
    <w:rsid w:val="2B405F6E"/>
    <w:rsid w:val="2B860FAC"/>
    <w:rsid w:val="2B8C3E6A"/>
    <w:rsid w:val="2BB22A22"/>
    <w:rsid w:val="2BC730F4"/>
    <w:rsid w:val="2BDE3F9A"/>
    <w:rsid w:val="2BFD2672"/>
    <w:rsid w:val="2C2644FF"/>
    <w:rsid w:val="2CE6483A"/>
    <w:rsid w:val="2D594D51"/>
    <w:rsid w:val="2D643342"/>
    <w:rsid w:val="2DC63E07"/>
    <w:rsid w:val="2DCD42C6"/>
    <w:rsid w:val="2DF126AA"/>
    <w:rsid w:val="2E0B376C"/>
    <w:rsid w:val="2E6115DE"/>
    <w:rsid w:val="2E725599"/>
    <w:rsid w:val="2E7C28D5"/>
    <w:rsid w:val="2EBF5871"/>
    <w:rsid w:val="2F432A92"/>
    <w:rsid w:val="2F7161E5"/>
    <w:rsid w:val="2FDF85B8"/>
    <w:rsid w:val="2FF16992"/>
    <w:rsid w:val="2FFFEE04"/>
    <w:rsid w:val="300F506A"/>
    <w:rsid w:val="30182570"/>
    <w:rsid w:val="30297EDA"/>
    <w:rsid w:val="302E54F0"/>
    <w:rsid w:val="305B205D"/>
    <w:rsid w:val="313C3C3D"/>
    <w:rsid w:val="319121DA"/>
    <w:rsid w:val="32195D2C"/>
    <w:rsid w:val="322841C1"/>
    <w:rsid w:val="3236068C"/>
    <w:rsid w:val="328B2B44"/>
    <w:rsid w:val="32E939F9"/>
    <w:rsid w:val="32EB3B6C"/>
    <w:rsid w:val="32ED1692"/>
    <w:rsid w:val="330C5891"/>
    <w:rsid w:val="336176B9"/>
    <w:rsid w:val="33F97BC3"/>
    <w:rsid w:val="33FC5905"/>
    <w:rsid w:val="34270BD4"/>
    <w:rsid w:val="34727975"/>
    <w:rsid w:val="348D453F"/>
    <w:rsid w:val="34DF85B0"/>
    <w:rsid w:val="34F760BB"/>
    <w:rsid w:val="34FC1D61"/>
    <w:rsid w:val="359A3628"/>
    <w:rsid w:val="35D2691D"/>
    <w:rsid w:val="360F1920"/>
    <w:rsid w:val="361909F0"/>
    <w:rsid w:val="362A0508"/>
    <w:rsid w:val="36401AD9"/>
    <w:rsid w:val="378D6FA0"/>
    <w:rsid w:val="37DA41AF"/>
    <w:rsid w:val="38211DDE"/>
    <w:rsid w:val="38563836"/>
    <w:rsid w:val="3894435E"/>
    <w:rsid w:val="38B67CF6"/>
    <w:rsid w:val="38B90269"/>
    <w:rsid w:val="38D155B2"/>
    <w:rsid w:val="3962620A"/>
    <w:rsid w:val="39A64349"/>
    <w:rsid w:val="39BC591B"/>
    <w:rsid w:val="3A637262"/>
    <w:rsid w:val="3A8F1281"/>
    <w:rsid w:val="3AAD4A35"/>
    <w:rsid w:val="3B324532"/>
    <w:rsid w:val="3B457B92"/>
    <w:rsid w:val="3B514788"/>
    <w:rsid w:val="3B716BD9"/>
    <w:rsid w:val="3B8763FC"/>
    <w:rsid w:val="3B8F36BC"/>
    <w:rsid w:val="3BE21884"/>
    <w:rsid w:val="3C381797"/>
    <w:rsid w:val="3C6621BE"/>
    <w:rsid w:val="3C991F43"/>
    <w:rsid w:val="3CCA2A44"/>
    <w:rsid w:val="3CFE65DA"/>
    <w:rsid w:val="3D0C0967"/>
    <w:rsid w:val="3D670F5C"/>
    <w:rsid w:val="3DA05553"/>
    <w:rsid w:val="3DB8680E"/>
    <w:rsid w:val="3E1000F5"/>
    <w:rsid w:val="3E150A6B"/>
    <w:rsid w:val="3E1C107E"/>
    <w:rsid w:val="3E1D1ACD"/>
    <w:rsid w:val="3E3A797F"/>
    <w:rsid w:val="3E4B3711"/>
    <w:rsid w:val="3EB9437E"/>
    <w:rsid w:val="3EEE5831"/>
    <w:rsid w:val="3F32042D"/>
    <w:rsid w:val="3F32553B"/>
    <w:rsid w:val="3F422D66"/>
    <w:rsid w:val="3F6902F3"/>
    <w:rsid w:val="3F6F78D3"/>
    <w:rsid w:val="3F8C2233"/>
    <w:rsid w:val="3FAF58B0"/>
    <w:rsid w:val="403C77B5"/>
    <w:rsid w:val="407707ED"/>
    <w:rsid w:val="40F956A6"/>
    <w:rsid w:val="410C3E3F"/>
    <w:rsid w:val="414032D5"/>
    <w:rsid w:val="414A4154"/>
    <w:rsid w:val="41634FB1"/>
    <w:rsid w:val="41801923"/>
    <w:rsid w:val="41AF1F3C"/>
    <w:rsid w:val="41FD7048"/>
    <w:rsid w:val="42037FC1"/>
    <w:rsid w:val="42044303"/>
    <w:rsid w:val="42250F90"/>
    <w:rsid w:val="422C3859"/>
    <w:rsid w:val="4230143F"/>
    <w:rsid w:val="42647B9B"/>
    <w:rsid w:val="42660B19"/>
    <w:rsid w:val="4269685C"/>
    <w:rsid w:val="428E6874"/>
    <w:rsid w:val="42D61E99"/>
    <w:rsid w:val="42DF22D1"/>
    <w:rsid w:val="435766B4"/>
    <w:rsid w:val="43707776"/>
    <w:rsid w:val="43897744"/>
    <w:rsid w:val="43A62642"/>
    <w:rsid w:val="43C139A5"/>
    <w:rsid w:val="440062D3"/>
    <w:rsid w:val="44363DD5"/>
    <w:rsid w:val="444430DC"/>
    <w:rsid w:val="44AD6ED3"/>
    <w:rsid w:val="451505D5"/>
    <w:rsid w:val="45202E24"/>
    <w:rsid w:val="454F1D39"/>
    <w:rsid w:val="45A02594"/>
    <w:rsid w:val="45FA3353"/>
    <w:rsid w:val="46250CEB"/>
    <w:rsid w:val="465810C1"/>
    <w:rsid w:val="47767A51"/>
    <w:rsid w:val="47EC1AC1"/>
    <w:rsid w:val="482A083B"/>
    <w:rsid w:val="485853A8"/>
    <w:rsid w:val="48DB1B35"/>
    <w:rsid w:val="48FB0A9E"/>
    <w:rsid w:val="491FF225"/>
    <w:rsid w:val="49282FCC"/>
    <w:rsid w:val="492E3EF0"/>
    <w:rsid w:val="497D499A"/>
    <w:rsid w:val="498875C7"/>
    <w:rsid w:val="49A07007"/>
    <w:rsid w:val="4A1D1B82"/>
    <w:rsid w:val="4A897A9B"/>
    <w:rsid w:val="4AC97E97"/>
    <w:rsid w:val="4AE7656F"/>
    <w:rsid w:val="4B0E349A"/>
    <w:rsid w:val="4B5B7F92"/>
    <w:rsid w:val="4B8E10E1"/>
    <w:rsid w:val="4C673E0C"/>
    <w:rsid w:val="4C837D3D"/>
    <w:rsid w:val="4C9952B8"/>
    <w:rsid w:val="4CAD5597"/>
    <w:rsid w:val="4CD11285"/>
    <w:rsid w:val="4D0440F4"/>
    <w:rsid w:val="4D153868"/>
    <w:rsid w:val="4D3A507C"/>
    <w:rsid w:val="4D6D36A4"/>
    <w:rsid w:val="4DF72F6D"/>
    <w:rsid w:val="4E600B13"/>
    <w:rsid w:val="4EBC1C1A"/>
    <w:rsid w:val="4ED432AF"/>
    <w:rsid w:val="4EEB6101"/>
    <w:rsid w:val="4EFB7FA2"/>
    <w:rsid w:val="4F0022F6"/>
    <w:rsid w:val="4F132029"/>
    <w:rsid w:val="4F1F596D"/>
    <w:rsid w:val="4F6F0214"/>
    <w:rsid w:val="4FBA74C7"/>
    <w:rsid w:val="4FFD214C"/>
    <w:rsid w:val="504F0E3F"/>
    <w:rsid w:val="50591CBD"/>
    <w:rsid w:val="50601964"/>
    <w:rsid w:val="50D92DFE"/>
    <w:rsid w:val="510C4F82"/>
    <w:rsid w:val="515B7CB7"/>
    <w:rsid w:val="51BC69A8"/>
    <w:rsid w:val="521D4073"/>
    <w:rsid w:val="525210BA"/>
    <w:rsid w:val="530B2203"/>
    <w:rsid w:val="534733CE"/>
    <w:rsid w:val="53650979"/>
    <w:rsid w:val="537868FE"/>
    <w:rsid w:val="537F7851"/>
    <w:rsid w:val="53807561"/>
    <w:rsid w:val="53C76EF3"/>
    <w:rsid w:val="53D02297"/>
    <w:rsid w:val="53D17DBD"/>
    <w:rsid w:val="53F01D34"/>
    <w:rsid w:val="541B5E49"/>
    <w:rsid w:val="543A1E06"/>
    <w:rsid w:val="54D05239"/>
    <w:rsid w:val="556709D9"/>
    <w:rsid w:val="557E3F74"/>
    <w:rsid w:val="55855303"/>
    <w:rsid w:val="55C0633B"/>
    <w:rsid w:val="5627460C"/>
    <w:rsid w:val="564725B8"/>
    <w:rsid w:val="56505911"/>
    <w:rsid w:val="568B2D64"/>
    <w:rsid w:val="56C447B8"/>
    <w:rsid w:val="56E878F7"/>
    <w:rsid w:val="56F75D8C"/>
    <w:rsid w:val="5777D4F5"/>
    <w:rsid w:val="57943879"/>
    <w:rsid w:val="57B24F0E"/>
    <w:rsid w:val="57E04A72"/>
    <w:rsid w:val="581F4981"/>
    <w:rsid w:val="58A114DB"/>
    <w:rsid w:val="59044790"/>
    <w:rsid w:val="59657925"/>
    <w:rsid w:val="5983426E"/>
    <w:rsid w:val="59DD8326"/>
    <w:rsid w:val="5A875679"/>
    <w:rsid w:val="5AB02BAF"/>
    <w:rsid w:val="5B5C4D58"/>
    <w:rsid w:val="5BB25EBD"/>
    <w:rsid w:val="5BE865EB"/>
    <w:rsid w:val="5C26535B"/>
    <w:rsid w:val="5C2E04A2"/>
    <w:rsid w:val="5C8A4F49"/>
    <w:rsid w:val="5CFC40FC"/>
    <w:rsid w:val="5D153410"/>
    <w:rsid w:val="5D341262"/>
    <w:rsid w:val="5D5E6159"/>
    <w:rsid w:val="5D6566BF"/>
    <w:rsid w:val="5DB669A1"/>
    <w:rsid w:val="5DDA188B"/>
    <w:rsid w:val="5DDC6E31"/>
    <w:rsid w:val="5DE1497B"/>
    <w:rsid w:val="5DE53CC0"/>
    <w:rsid w:val="5DEF592A"/>
    <w:rsid w:val="5DF70D68"/>
    <w:rsid w:val="5E2841CF"/>
    <w:rsid w:val="5E6364D9"/>
    <w:rsid w:val="5E7B3747"/>
    <w:rsid w:val="5E805BF1"/>
    <w:rsid w:val="5F7E6A88"/>
    <w:rsid w:val="5FAF200F"/>
    <w:rsid w:val="5FC6BB1E"/>
    <w:rsid w:val="5FDF0EC5"/>
    <w:rsid w:val="5FF720F1"/>
    <w:rsid w:val="60363DC9"/>
    <w:rsid w:val="60B371C8"/>
    <w:rsid w:val="60D13AF2"/>
    <w:rsid w:val="61076609"/>
    <w:rsid w:val="61812E22"/>
    <w:rsid w:val="61D75138"/>
    <w:rsid w:val="621F65B2"/>
    <w:rsid w:val="622F6D22"/>
    <w:rsid w:val="62674759"/>
    <w:rsid w:val="62880AE6"/>
    <w:rsid w:val="63461B81"/>
    <w:rsid w:val="637C5F97"/>
    <w:rsid w:val="647A4AC8"/>
    <w:rsid w:val="64E21E2A"/>
    <w:rsid w:val="64EF09EB"/>
    <w:rsid w:val="650774FF"/>
    <w:rsid w:val="650B7A60"/>
    <w:rsid w:val="651D2E62"/>
    <w:rsid w:val="658A4348"/>
    <w:rsid w:val="658C6239"/>
    <w:rsid w:val="65D81772"/>
    <w:rsid w:val="667C1E0A"/>
    <w:rsid w:val="66826113"/>
    <w:rsid w:val="669B4986"/>
    <w:rsid w:val="669C340B"/>
    <w:rsid w:val="66AC566C"/>
    <w:rsid w:val="66E412F9"/>
    <w:rsid w:val="673E7C4E"/>
    <w:rsid w:val="675D7E8D"/>
    <w:rsid w:val="67627252"/>
    <w:rsid w:val="676D626E"/>
    <w:rsid w:val="677D5E3A"/>
    <w:rsid w:val="67A91325"/>
    <w:rsid w:val="67B83316"/>
    <w:rsid w:val="67D60132"/>
    <w:rsid w:val="67DA1624"/>
    <w:rsid w:val="67DB659D"/>
    <w:rsid w:val="67F43DA7"/>
    <w:rsid w:val="67FF5C0B"/>
    <w:rsid w:val="680C5410"/>
    <w:rsid w:val="683055A2"/>
    <w:rsid w:val="6865349E"/>
    <w:rsid w:val="68D465F3"/>
    <w:rsid w:val="68EA39A3"/>
    <w:rsid w:val="68F56A20"/>
    <w:rsid w:val="68F760C0"/>
    <w:rsid w:val="69004F74"/>
    <w:rsid w:val="69586B5E"/>
    <w:rsid w:val="69EF0757"/>
    <w:rsid w:val="6A670A9A"/>
    <w:rsid w:val="6A701C86"/>
    <w:rsid w:val="6B1418E1"/>
    <w:rsid w:val="6B1B42E7"/>
    <w:rsid w:val="6B1B7E43"/>
    <w:rsid w:val="6B560E7C"/>
    <w:rsid w:val="6C7A1FD0"/>
    <w:rsid w:val="6C953C26"/>
    <w:rsid w:val="6D2277C6"/>
    <w:rsid w:val="6DB77BCC"/>
    <w:rsid w:val="6DBF46EE"/>
    <w:rsid w:val="6DCE5641"/>
    <w:rsid w:val="6E6E0BD2"/>
    <w:rsid w:val="6E7D1B7C"/>
    <w:rsid w:val="6ED414F8"/>
    <w:rsid w:val="6EFC0924"/>
    <w:rsid w:val="6FAC7C04"/>
    <w:rsid w:val="6FB74722"/>
    <w:rsid w:val="6FDB4045"/>
    <w:rsid w:val="6FEF8B7E"/>
    <w:rsid w:val="700417EE"/>
    <w:rsid w:val="701B2694"/>
    <w:rsid w:val="70741DA4"/>
    <w:rsid w:val="70974A76"/>
    <w:rsid w:val="70D867D7"/>
    <w:rsid w:val="71060DE0"/>
    <w:rsid w:val="71155335"/>
    <w:rsid w:val="71566079"/>
    <w:rsid w:val="71A6591B"/>
    <w:rsid w:val="71D21478"/>
    <w:rsid w:val="71F83C19"/>
    <w:rsid w:val="720C6738"/>
    <w:rsid w:val="720F6228"/>
    <w:rsid w:val="7231619E"/>
    <w:rsid w:val="72461A65"/>
    <w:rsid w:val="725105EF"/>
    <w:rsid w:val="72541E8D"/>
    <w:rsid w:val="72946EF9"/>
    <w:rsid w:val="72CE6AA3"/>
    <w:rsid w:val="731F06ED"/>
    <w:rsid w:val="735F6D3B"/>
    <w:rsid w:val="737D59BA"/>
    <w:rsid w:val="74223C48"/>
    <w:rsid w:val="74273CFD"/>
    <w:rsid w:val="74D6302D"/>
    <w:rsid w:val="74EA4FDD"/>
    <w:rsid w:val="74FB05A2"/>
    <w:rsid w:val="752B15CB"/>
    <w:rsid w:val="754F045F"/>
    <w:rsid w:val="756D1BE3"/>
    <w:rsid w:val="75703EBC"/>
    <w:rsid w:val="75894543"/>
    <w:rsid w:val="75BC2223"/>
    <w:rsid w:val="75DC28C5"/>
    <w:rsid w:val="75E93A7E"/>
    <w:rsid w:val="75F47C0F"/>
    <w:rsid w:val="763F12F1"/>
    <w:rsid w:val="765E152C"/>
    <w:rsid w:val="76CA6BC2"/>
    <w:rsid w:val="770B16B4"/>
    <w:rsid w:val="772E53A2"/>
    <w:rsid w:val="77C37683"/>
    <w:rsid w:val="78911745"/>
    <w:rsid w:val="78DD2BDC"/>
    <w:rsid w:val="78E42443"/>
    <w:rsid w:val="79183C14"/>
    <w:rsid w:val="799E26EA"/>
    <w:rsid w:val="79BA03D7"/>
    <w:rsid w:val="79D19834"/>
    <w:rsid w:val="79EF706B"/>
    <w:rsid w:val="79FF515B"/>
    <w:rsid w:val="7A4276F5"/>
    <w:rsid w:val="7B672C31"/>
    <w:rsid w:val="7B6969E8"/>
    <w:rsid w:val="7BBE3213"/>
    <w:rsid w:val="7BC167E5"/>
    <w:rsid w:val="7BF546E1"/>
    <w:rsid w:val="7C3E7E36"/>
    <w:rsid w:val="7C6A4811"/>
    <w:rsid w:val="7CC540B3"/>
    <w:rsid w:val="7CEF2EDE"/>
    <w:rsid w:val="7D5B35DF"/>
    <w:rsid w:val="7DAB64AB"/>
    <w:rsid w:val="7DD16A88"/>
    <w:rsid w:val="7E6F5DA2"/>
    <w:rsid w:val="7E77762F"/>
    <w:rsid w:val="7E834226"/>
    <w:rsid w:val="7E8645F2"/>
    <w:rsid w:val="7E9E1962"/>
    <w:rsid w:val="7E9F11B4"/>
    <w:rsid w:val="7EA8061A"/>
    <w:rsid w:val="7ED71E7C"/>
    <w:rsid w:val="7F0A6F98"/>
    <w:rsid w:val="7F37EC1E"/>
    <w:rsid w:val="7F3D3133"/>
    <w:rsid w:val="7F590AE3"/>
    <w:rsid w:val="7F7DCD9D"/>
    <w:rsid w:val="7F7E0B5C"/>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kern w:val="0"/>
      <w:sz w:val="20"/>
      <w:szCs w:val="20"/>
    </w:rPr>
  </w:style>
  <w:style w:type="paragraph" w:customStyle="1" w:styleId="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4">
    <w:name w:val="annotation text"/>
    <w:basedOn w:val="1"/>
    <w:semiHidden/>
    <w:unhideWhenUsed/>
    <w:qFormat/>
    <w:uiPriority w:val="99"/>
    <w:pPr>
      <w:jc w:val="left"/>
    </w:p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envelope return"/>
    <w:basedOn w:val="1"/>
    <w:qFormat/>
    <w:uiPriority w:val="0"/>
    <w:pPr>
      <w:widowControl/>
      <w:ind w:left="1080"/>
      <w:jc w:val="left"/>
    </w:pPr>
    <w:rPr>
      <w:rFonts w:cs="Arial"/>
      <w:spacing w:val="-5"/>
      <w:kern w:val="0"/>
      <w:sz w:val="20"/>
      <w:szCs w:val="20"/>
      <w:lang w:eastAsia="en-US"/>
    </w:rPr>
  </w:style>
  <w:style w:type="paragraph" w:styleId="8">
    <w:name w:val="Balloon Text"/>
    <w:basedOn w:val="1"/>
    <w:link w:val="19"/>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12"/>
    <w:semiHidden/>
    <w:qFormat/>
    <w:uiPriority w:val="0"/>
    <w:pPr>
      <w:snapToGrid w:val="0"/>
      <w:jc w:val="left"/>
    </w:pPr>
    <w:rPr>
      <w:sz w:val="18"/>
      <w:szCs w:val="18"/>
    </w:rPr>
  </w:style>
  <w:style w:type="paragraph" w:styleId="12">
    <w:name w:val="Body Text First Indent 2"/>
    <w:basedOn w:val="6"/>
    <w:next w:val="2"/>
    <w:unhideWhenUsed/>
    <w:qFormat/>
    <w:uiPriority w:val="99"/>
    <w:pPr>
      <w:ind w:firstLine="420" w:firstLineChars="200"/>
    </w:pPr>
  </w:style>
  <w:style w:type="paragraph" w:styleId="13">
    <w:name w:val="Normal (Web)"/>
    <w:basedOn w:val="1"/>
    <w:qFormat/>
    <w:uiPriority w:val="0"/>
    <w:pPr>
      <w:spacing w:before="100" w:beforeAutospacing="1" w:after="100" w:afterAutospacing="1"/>
      <w:jc w:val="left"/>
    </w:pPr>
    <w:rPr>
      <w:rFonts w:ascii="Calibri" w:hAnsi="Calibri"/>
      <w:kern w:val="0"/>
      <w:sz w:val="24"/>
      <w:szCs w:val="24"/>
    </w:rPr>
  </w:style>
  <w:style w:type="character" w:customStyle="1" w:styleId="16">
    <w:name w:val="页眉 Char"/>
    <w:basedOn w:val="15"/>
    <w:link w:val="10"/>
    <w:qFormat/>
    <w:uiPriority w:val="99"/>
    <w:rPr>
      <w:sz w:val="18"/>
      <w:szCs w:val="18"/>
    </w:rPr>
  </w:style>
  <w:style w:type="character" w:customStyle="1" w:styleId="17">
    <w:name w:val="页脚 Char"/>
    <w:basedOn w:val="15"/>
    <w:link w:val="9"/>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5"/>
    <w:link w:val="8"/>
    <w:semiHidden/>
    <w:qFormat/>
    <w:uiPriority w:val="99"/>
    <w:rPr>
      <w:sz w:val="18"/>
      <w:szCs w:val="18"/>
    </w:rPr>
  </w:style>
  <w:style w:type="character" w:customStyle="1" w:styleId="20">
    <w:name w:val="font01"/>
    <w:basedOn w:val="15"/>
    <w:qFormat/>
    <w:uiPriority w:val="0"/>
    <w:rPr>
      <w:rFonts w:hint="eastAsia" w:ascii="宋体" w:hAnsi="宋体" w:eastAsia="宋体" w:cs="宋体"/>
      <w:color w:val="000000"/>
      <w:sz w:val="22"/>
      <w:szCs w:val="22"/>
      <w:u w:val="none"/>
    </w:rPr>
  </w:style>
  <w:style w:type="character" w:customStyle="1" w:styleId="21">
    <w:name w:val="font21"/>
    <w:basedOn w:val="15"/>
    <w:qFormat/>
    <w:uiPriority w:val="0"/>
    <w:rPr>
      <w:rFonts w:hint="eastAsia" w:ascii="宋体" w:hAnsi="宋体" w:eastAsia="宋体" w:cs="宋体"/>
      <w:color w:val="000000"/>
      <w:sz w:val="24"/>
      <w:szCs w:val="24"/>
      <w:u w:val="none"/>
    </w:rPr>
  </w:style>
  <w:style w:type="character" w:customStyle="1" w:styleId="22">
    <w:name w:val="font1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1463</Words>
  <Characters>8342</Characters>
  <Lines>69</Lines>
  <Paragraphs>19</Paragraphs>
  <TotalTime>58</TotalTime>
  <ScaleCrop>false</ScaleCrop>
  <LinksUpToDate>false</LinksUpToDate>
  <CharactersWithSpaces>9786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Administrator</cp:lastModifiedBy>
  <cp:lastPrinted>2025-09-15T01:49:00Z</cp:lastPrinted>
  <dcterms:modified xsi:type="dcterms:W3CDTF">2025-09-16T02:28:49Z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BB7B6AA21D207914D6FDA268992A22D6</vt:lpwstr>
  </property>
</Properties>
</file>