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1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2025年度停车场服务项目</w:t>
      </w:r>
    </w:p>
    <w:p w14:paraId="25B45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color w:val="CC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采购文件</w:t>
      </w:r>
    </w:p>
    <w:p w14:paraId="4BD7248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/>
        <w:ind w:left="0" w:right="0"/>
        <w:jc w:val="center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0906</w:t>
      </w:r>
    </w:p>
    <w:p w14:paraId="7273434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color w:val="auto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采购项目：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2025年度停车场服务项目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7403"/>
      </w:tblGrid>
      <w:tr w14:paraId="7FD0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8D93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B9E2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邵阳学院附属第二医院</w:t>
            </w:r>
          </w:p>
        </w:tc>
      </w:tr>
      <w:tr w14:paraId="0702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3A20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2D42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2025年度停车场服务项目</w:t>
            </w:r>
          </w:p>
        </w:tc>
      </w:tr>
      <w:tr w14:paraId="413A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0D74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最低限价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AB22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人民币壹拾陆万贰仟元整（¥162,000.00）</w:t>
            </w:r>
          </w:p>
        </w:tc>
      </w:tr>
      <w:tr w14:paraId="3123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2024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3142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自主采购</w:t>
            </w:r>
          </w:p>
        </w:tc>
      </w:tr>
      <w:tr w14:paraId="0092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2B7E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公告日期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0432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2025年9月24日</w:t>
            </w:r>
          </w:p>
        </w:tc>
      </w:tr>
      <w:tr w14:paraId="3DF2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472E1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报名截止时间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3B96E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2025年9月29日12时00分</w:t>
            </w:r>
          </w:p>
        </w:tc>
      </w:tr>
      <w:tr w14:paraId="67B0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2049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磋商时间</w:t>
            </w:r>
          </w:p>
        </w:tc>
        <w:tc>
          <w:tcPr>
            <w:tcW w:w="740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112FE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2025年9月30日16时00分</w:t>
            </w:r>
          </w:p>
        </w:tc>
      </w:tr>
      <w:tr w14:paraId="5F34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16ED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磋商地点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F739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邵阳学院附属第二医院行政楼3楼会议室</w:t>
            </w:r>
          </w:p>
        </w:tc>
      </w:tr>
      <w:tr w14:paraId="1703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95C5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0B621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李先生</w:t>
            </w:r>
          </w:p>
        </w:tc>
      </w:tr>
      <w:tr w14:paraId="53D5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6288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8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225" w:type="dxa"/>
            </w:tcMar>
            <w:vAlign w:val="top"/>
          </w:tcPr>
          <w:p w14:paraId="7171C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0739-5270379</w:t>
            </w:r>
          </w:p>
        </w:tc>
      </w:tr>
    </w:tbl>
    <w:p w14:paraId="47F2C1E2">
      <w:pPr>
        <w:rPr>
          <w:rFonts w:hint="eastAsia"/>
          <w:lang w:val="en-US" w:eastAsia="zh-CN"/>
        </w:rPr>
      </w:pPr>
    </w:p>
    <w:p w14:paraId="57F46E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第一章 采购邀请函</w:t>
      </w:r>
    </w:p>
    <w:p w14:paraId="089F3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邵阳学院附属第二医院（采购人）就“2025年度停车场服务项目”（项目编号：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0906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）进行采购，欢迎符合资格条件的供应商参加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磋商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。</w:t>
      </w:r>
    </w:p>
    <w:p w14:paraId="713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0FDF7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right="0" w:firstLine="5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为满足医患者及家属的通畅和安全，保障医院业务发展需要，现将院内停车位共计330个进行委托管理。</w:t>
      </w:r>
    </w:p>
    <w:p w14:paraId="26B2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4B35043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具有独立承担民事责任的能力</w:t>
      </w:r>
    </w:p>
    <w:p w14:paraId="07704FE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具有良好的商业信誉和健全的财务会计制度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近1年财务报表或审计报告复印件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）</w:t>
      </w:r>
    </w:p>
    <w:p w14:paraId="6154990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必须具备五年以上医院停车收费服务的经验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项目对应的证明资料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）</w:t>
      </w:r>
    </w:p>
    <w:p w14:paraId="21F3498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有依法缴纳税收和社会保障资金的良好记录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税务部门出具近6个月完税证明及社保部门盖章近6个月社保缴纳凭证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eastAsia="zh-CN"/>
        </w:rPr>
        <w:t>）</w:t>
      </w:r>
    </w:p>
    <w:p w14:paraId="1CAD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66CE0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日（工作日9:00-11:30，14:30-17:00）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地点：邵阳学院附属第二医院国有资产管理办公室（6号楼309）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方式：现场报名，需提供营业执照复印件、法定代表人授权书及供应商资格要求所含内容的证明材料，胶装成册</w:t>
      </w:r>
    </w:p>
    <w:p w14:paraId="4F54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4149A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u w:val="single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日16</w:t>
      </w:r>
      <w:bookmarkStart w:id="2" w:name="_GoBack"/>
      <w:bookmarkEnd w:id="2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地点：邵阳学院附属第二医院行政楼3楼会议室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逾期送达或未按要求密封的响应文件将不予受理</w:t>
      </w:r>
    </w:p>
    <w:p w14:paraId="78E866E0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供应商须在响应文件中提供真实、准确、完整的材料，任何虚假材料将导致投标无效并承担相应法律责任。</w:t>
      </w:r>
    </w:p>
    <w:p w14:paraId="53E76A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A777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一、磋商程序</w:t>
      </w:r>
    </w:p>
    <w:p w14:paraId="7F10020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供应商签到及资格审查</w:t>
      </w:r>
    </w:p>
    <w:p w14:paraId="1C7C15B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宣布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磋商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纪律及注意事项</w:t>
      </w:r>
    </w:p>
    <w:p w14:paraId="1BEF5BF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材料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（密封递交）</w:t>
      </w:r>
    </w:p>
    <w:p w14:paraId="3DB3975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磋商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小组与供应商分别进行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谈判</w:t>
      </w:r>
    </w:p>
    <w:p w14:paraId="53B8E4B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磋商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小组评审并推荐成交候选人</w:t>
      </w:r>
    </w:p>
    <w:p w14:paraId="44299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6045EE2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响应文件须按第四章格式要求编制</w:t>
      </w:r>
    </w:p>
    <w:p w14:paraId="0343D3B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所有文件均需加盖公章，复印件需注明"与原件一致"</w:t>
      </w:r>
    </w:p>
    <w:p w14:paraId="3314E28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报价为人民币含税价，包含运输、安装、培训等一切费用</w:t>
      </w:r>
    </w:p>
    <w:p w14:paraId="17D304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</w:rPr>
        <w:t>响应文件正本1份</w:t>
      </w:r>
    </w:p>
    <w:p w14:paraId="45E8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785F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1. 谈判小组由采购人代表和相关专家共3人组成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2. 谈判过程中供应商不得透露可能影响公平竞争的信息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3. 谈判结束后，供应商须在等候区等待通知</w:t>
      </w:r>
    </w:p>
    <w:p w14:paraId="1986169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p w14:paraId="6D975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bookmarkStart w:id="0" w:name="_Toc37252830"/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一、收费标准：</w:t>
      </w:r>
    </w:p>
    <w:p w14:paraId="1E9EB3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1.严格按照邵阳市发展和改革委员会文件执行收费标准，中标公司实行自负盈亏的管理模式标准。</w:t>
      </w:r>
    </w:p>
    <w:p w14:paraId="6A2FF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2.在收费岗亭醒目处张贴收费标准文件。</w:t>
      </w:r>
    </w:p>
    <w:p w14:paraId="7AE31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二、服务标准：</w:t>
      </w:r>
    </w:p>
    <w:p w14:paraId="666D62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1.收费员必须统一着装。</w:t>
      </w:r>
    </w:p>
    <w:p w14:paraId="5726E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2.要保证车辆出入畅通，特殊情况引起拥堵现场，必须要有强有力的处置能力。</w:t>
      </w:r>
    </w:p>
    <w:p w14:paraId="55F3D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3.要保证收费系统的正常运转，设备设施需要更换和维修，要及时落实到位。</w:t>
      </w:r>
    </w:p>
    <w:p w14:paraId="73E9D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4.停车场卫生保洁由中标公司派人清扫，保持停车场环境洁净。</w:t>
      </w:r>
    </w:p>
    <w:p w14:paraId="265C2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三、中标公司风险评估：</w:t>
      </w:r>
    </w:p>
    <w:p w14:paraId="66FC5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1.所有收费员工资，设施设备的更换维修，所支付费用由中标公司负责。</w:t>
      </w:r>
    </w:p>
    <w:p w14:paraId="3DF67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2.所有收费人员劳资纠纷医院不承担任何责任。</w:t>
      </w:r>
    </w:p>
    <w:p w14:paraId="4568F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3.所有收费人员发生任何事故、意外均和医院无关。</w:t>
      </w:r>
    </w:p>
    <w:p w14:paraId="05194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4.车辆划伤、损伤由中标公司负责协调处理。</w:t>
      </w:r>
    </w:p>
    <w:p w14:paraId="33265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5.必须服从医院的管理。</w:t>
      </w:r>
    </w:p>
    <w:p w14:paraId="2B0C0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 xml:space="preserve"> 医院停车场收费标准（参照邵阳市发展和改革委员下发的《邵市发改价费〔2020〕173号》文件）：</w:t>
      </w:r>
    </w:p>
    <w:p w14:paraId="4A877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1.白天（7∶00至19∶00）停放每小时5元/辆；夜晚（19∶00&lt;含&gt;至7∶00&lt;含&gt;）停放每小时1元/辆。不足1小时的按1小时计算。24小时限价50元。</w:t>
      </w:r>
    </w:p>
    <w:p w14:paraId="253E0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2.免费车辆范围（本院公车、本院内部医务人员车辆、特种车辆、血透病人车辆、残疾证车、军警、消防、救护车、救灾车、邮政车、环卫车等）。</w:t>
      </w:r>
    </w:p>
    <w:p w14:paraId="78CAA7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3.本院体检及住院病人，实行1.5小时内停车免费，超过1.5小时按每小时5元收费，每天最高20元收费。</w:t>
      </w:r>
    </w:p>
    <w:p w14:paraId="5615C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4.其他临时停车30分钟内免费，超过30分钟按每小时5元收费，每天费用不高于50元。</w:t>
      </w:r>
    </w:p>
    <w:p w14:paraId="55F56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5.元旦节（公历1月1日）、除夕、春节（农历正月初一）、清明节、劳动节（公历5月1日）、端午节（农历五月初五）、中秋节（农历八月十五）、国庆节（公历10月1日）当天对所有车辆免费。</w:t>
      </w:r>
    </w:p>
    <w:p w14:paraId="6D631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六、服务期限：服务期一年</w:t>
      </w:r>
    </w:p>
    <w:p w14:paraId="119EF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七、评分标准</w:t>
      </w:r>
    </w:p>
    <w:tbl>
      <w:tblPr>
        <w:tblStyle w:val="11"/>
        <w:tblW w:w="55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36"/>
        <w:gridCol w:w="1017"/>
        <w:gridCol w:w="861"/>
        <w:gridCol w:w="6390"/>
      </w:tblGrid>
      <w:tr w14:paraId="7898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309" w:type="pc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551419A4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93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0F6ED2EF">
            <w:pPr>
              <w:tabs>
                <w:tab w:val="left" w:pos="1988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计审因素</w:t>
            </w:r>
          </w:p>
          <w:p w14:paraId="28F50D76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（分值）</w:t>
            </w:r>
          </w:p>
        </w:tc>
        <w:tc>
          <w:tcPr>
            <w:tcW w:w="3996" w:type="pct"/>
            <w:gridSpan w:val="3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07DDDDF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评审标准</w:t>
            </w:r>
          </w:p>
        </w:tc>
      </w:tr>
      <w:tr w14:paraId="2876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69780B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1" w:name="_Hlk498338197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7F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价格评价项</w:t>
            </w:r>
          </w:p>
          <w:p w14:paraId="02BA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（A1）</w:t>
            </w:r>
          </w:p>
          <w:p w14:paraId="4A88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96" w:type="pct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8DBB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所有合格供应商中最后磋商报价最低的为基准价，其价格得分计10分。其他供应商的价格得分统一按公式计算：报价得分=（基准价÷最后磋商报价）×10。</w:t>
            </w:r>
          </w:p>
          <w:p w14:paraId="59B1D4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说明：因落实政府采购政策（价格评审优惠）进行价格调整的，以调整后的价格计算评审基准价和最后磋商报价。</w:t>
            </w:r>
          </w:p>
        </w:tc>
      </w:tr>
      <w:bookmarkEnd w:id="1"/>
      <w:tr w14:paraId="150A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309" w:type="pct"/>
            <w:vMerge w:val="restart"/>
            <w:tcBorders>
              <w:top w:val="single" w:color="auto" w:sz="4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28AEF978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B89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技术评价项</w:t>
            </w:r>
          </w:p>
          <w:p w14:paraId="5FCE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（A2）</w:t>
            </w:r>
          </w:p>
          <w:p w14:paraId="2610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</w:rPr>
              <w:t>整体实施方案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7B0C">
            <w:pPr>
              <w:widowControl/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</w:rPr>
              <w:t>分</w:t>
            </w:r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1D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</w:rPr>
              <w:t>投标人对本项目的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整体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</w:rPr>
              <w:t>服务方案整体思路、架构、</w:t>
            </w:r>
            <w:r>
              <w:rPr>
                <w:rFonts w:hint="eastAsia" w:ascii="宋体" w:hAnsi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方法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</w:rPr>
              <w:t>方面进行综合评比。</w:t>
            </w:r>
            <w:r>
              <w:rPr>
                <w:rFonts w:ascii="宋体" w:hAnsi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分优、良、一般三个等级，分别得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ascii="宋体" w:hAnsi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ascii="宋体" w:hAnsi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ascii="宋体" w:hAnsi="宋体"/>
                <w:b w:val="0"/>
                <w:bCs w:val="0"/>
                <w:color w:val="000000"/>
                <w:sz w:val="21"/>
                <w:szCs w:val="21"/>
                <w:highlight w:val="none"/>
              </w:rPr>
              <w:t>分。没有内容不得分。</w:t>
            </w:r>
          </w:p>
        </w:tc>
      </w:tr>
      <w:tr w14:paraId="4619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309" w:type="pct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61BD1865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D2C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3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</w:rPr>
              <w:t>技术要求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满足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</w:rPr>
              <w:t>程度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F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0F1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</w:rPr>
              <w:t>完全满足招标文件技术指标的计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</w:rPr>
              <w:t>分，每负偏离一项扣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</w:rPr>
              <w:t>分 ；如应答时缺项，则视同负偏离处理。</w:t>
            </w:r>
          </w:p>
          <w:p w14:paraId="11C52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03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309" w:type="pct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76DF04E3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B81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3E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应急预案及响应措施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B1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15分</w:t>
            </w:r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00AF4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应对设备突发故障制定合理应急预案，</w:t>
            </w:r>
          </w:p>
          <w:p w14:paraId="6721B0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应急预案完善、科学、合理、操作性强得15分； </w:t>
            </w:r>
          </w:p>
          <w:p w14:paraId="5EB628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应急预案比较清晰、全面、合理，方案基本可行得10分； </w:t>
            </w:r>
          </w:p>
          <w:p w14:paraId="630770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应急预案比较全面、方案基本可行得 5分；</w:t>
            </w:r>
          </w:p>
          <w:p w14:paraId="602E46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没提供的不得分。</w:t>
            </w:r>
          </w:p>
          <w:p w14:paraId="0DADDB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（评审依据：提供应急处理方案并加盖投标人公章，未提供不得分。）</w:t>
            </w:r>
          </w:p>
        </w:tc>
      </w:tr>
      <w:tr w14:paraId="6701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09" w:type="pct"/>
            <w:vMerge w:val="restart"/>
            <w:tcBorders>
              <w:top w:val="single" w:color="auto" w:sz="4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1B0D55C1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C8B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F08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704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商务评价项</w:t>
            </w:r>
          </w:p>
          <w:p w14:paraId="4B76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（A3）</w:t>
            </w:r>
          </w:p>
          <w:p w14:paraId="0216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0" w:leftChars="0" w:firstLine="0" w:firstLineChars="0"/>
              <w:jc w:val="both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企业技术资质保障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0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0" w:leftChars="0"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rtl w:val="0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分</w:t>
            </w:r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683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1、投标人具有ISO9001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或GB/T19001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质量管理体系认证的，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且在有效期内的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得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6515C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2、投标人具有ISO14001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或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GB/T 24001环境管理体系认证的，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且在有效期内的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得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5DB8F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3、投标人具有ISO 45001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或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GB/T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45001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职业健康安全管理体系认证的，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且在有效期内的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得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分；</w:t>
            </w:r>
          </w:p>
          <w:p w14:paraId="31CC9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rtl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注：以上提供的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证明材料的发证日期须在本公告发布之日前，否则不计分，</w:t>
            </w:r>
            <w:r>
              <w:rPr>
                <w:rFonts w:hint="eastAsia" w:ascii="宋体" w:hAnsi="宋体" w:cs="华文仿宋"/>
                <w:sz w:val="21"/>
                <w:szCs w:val="21"/>
                <w:lang w:val="zh-CN"/>
              </w:rPr>
              <w:t>提供证书</w:t>
            </w:r>
            <w:r>
              <w:rPr>
                <w:rFonts w:hint="eastAsia" w:ascii="宋体" w:hAnsi="宋体" w:cs="华文仿宋"/>
                <w:sz w:val="21"/>
                <w:szCs w:val="21"/>
                <w:lang w:val="en-US" w:eastAsia="zh-CN"/>
              </w:rPr>
              <w:t>或相关证明资料</w:t>
            </w:r>
            <w:r>
              <w:rPr>
                <w:rFonts w:hint="eastAsia" w:ascii="宋体" w:hAnsi="宋体" w:cs="华文仿宋"/>
                <w:sz w:val="21"/>
                <w:szCs w:val="21"/>
                <w:lang w:val="zh-CN"/>
              </w:rPr>
              <w:t>复印件</w:t>
            </w:r>
            <w:r>
              <w:rPr>
                <w:rFonts w:hint="eastAsia" w:ascii="宋体" w:hAnsi="宋体" w:cs="华文仿宋"/>
                <w:sz w:val="21"/>
                <w:szCs w:val="21"/>
                <w:lang w:val="en-US" w:eastAsia="zh-CN"/>
              </w:rPr>
              <w:t>或扫描件并加盖公章</w:t>
            </w: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，否则不计分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71F4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09" w:type="pct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745D19C7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3B6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704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87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6DC353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供应商具备有关的服务经验（指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医院</w:t>
            </w: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停车场服务），每提供一份经验材料得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最高计</w:t>
            </w: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分。（须提供项目合同复印件或有关证明材料）</w:t>
            </w:r>
          </w:p>
          <w:p w14:paraId="559AE0A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hAnsi="Times New Roman" w:cs="Times New Roman"/>
                <w:b w:val="0"/>
                <w:bCs w:val="0"/>
                <w:color w:val="auto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从事车辆收费的医院项目被省公安厅评为“示范安保项目”的每个计4分，最高计8分；其他单位项目被省公安厅评为“示范安保项目”的每个计3分，最高计6分。</w:t>
            </w: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（须提供有关证明材料）</w:t>
            </w:r>
          </w:p>
        </w:tc>
      </w:tr>
      <w:tr w14:paraId="0BA3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09" w:type="pct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4722D4CF">
            <w:pPr>
              <w:tabs>
                <w:tab w:val="left" w:pos="1988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3" w:type="pct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AF6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DDBE25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投标文件编制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0EE5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3089" w:type="pct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20C577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rtl w:val="0"/>
                <w:lang w:val="en-US" w:eastAsia="zh-CN"/>
              </w:rPr>
            </w:pPr>
            <w:r>
              <w:rPr>
                <w:rFonts w:hint="eastAsia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投标文件按招标文件规定的格式、顺序编制，有目录、编页码，装订成册，书面整洁无涂改，没有缺漏项，价格数量等计算准确的，计6分；不符合要求的，每处扣2分，扣完为止。</w:t>
            </w:r>
          </w:p>
        </w:tc>
      </w:tr>
      <w:tr w14:paraId="7F37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09" w:type="pc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AA338E8">
            <w:pPr>
              <w:adjustRightInd w:val="0"/>
              <w:snapToGrid w:val="0"/>
              <w:spacing w:before="120" w:beforeLines="50"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∑</w:t>
            </w:r>
          </w:p>
        </w:tc>
        <w:tc>
          <w:tcPr>
            <w:tcW w:w="46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E55DD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A1+A2+A3</w:t>
            </w:r>
          </w:p>
        </w:tc>
      </w:tr>
      <w:bookmarkEnd w:id="0"/>
    </w:tbl>
    <w:p w14:paraId="4F8834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42E35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2EE3C76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响应函（格式见附件1）</w:t>
      </w:r>
    </w:p>
    <w:p w14:paraId="0AD37D4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法定代表人授权书（格式见附件2）</w:t>
      </w:r>
    </w:p>
    <w:p w14:paraId="7BEF99C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报价表（格式见附件3）</w:t>
      </w:r>
    </w:p>
    <w:p w14:paraId="082BA3A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技术参数响应表（格式见附件4）</w:t>
      </w:r>
    </w:p>
    <w:p w14:paraId="76CD756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商务条款响应表（格式见附件5）</w:t>
      </w:r>
    </w:p>
    <w:p w14:paraId="7DD7B3E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资格证明文件</w:t>
      </w:r>
    </w:p>
    <w:p w14:paraId="08BF1C9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服务承诺书</w:t>
      </w:r>
    </w:p>
    <w:p w14:paraId="0EC7FE7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其他应提交的资料</w:t>
      </w:r>
    </w:p>
    <w:p w14:paraId="46C49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13DA589C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响应文件应使用A4幅面纸张打印</w:t>
      </w:r>
    </w:p>
    <w:p w14:paraId="5D22479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正文字体为宋体小四号，标题为黑体三号</w:t>
      </w:r>
    </w:p>
    <w:p w14:paraId="37CDEC8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所有文件应装订成册并编制连续页码</w:t>
      </w:r>
    </w:p>
    <w:p w14:paraId="71DF9E6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响应文件封面应注明项目名称、项目编号、供应商名称</w:t>
      </w:r>
    </w:p>
    <w:p w14:paraId="5B3A1A3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每页均需加盖单位公章（骑缝章）</w:t>
      </w:r>
    </w:p>
    <w:p w14:paraId="31760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22745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BC46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5C67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2414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67DC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484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32D4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83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51F7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23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1B1F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D7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E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EBC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1F5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3D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250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379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C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A3573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03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D5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56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067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3D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6D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08C5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9F2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13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6EE8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D4C89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我方声明：</w:t>
            </w:r>
          </w:p>
          <w:p w14:paraId="56F3CAB5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已完全理解采购文件要求</w:t>
            </w:r>
          </w:p>
          <w:p w14:paraId="4D60D5DF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响应报价为最终含税报价</w:t>
            </w:r>
          </w:p>
          <w:p w14:paraId="10DD047E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 同意按采购文件要求签订合同</w:t>
            </w:r>
          </w:p>
        </w:tc>
      </w:tr>
      <w:tr w14:paraId="4547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7A8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0BBF2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79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09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法定代表人（签字）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E7D6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9F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930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E98031">
            <w:pPr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12C0C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86B3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EE31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0F22A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99DD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353A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5BFD805F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授权委托书(格式)</w:t>
      </w:r>
    </w:p>
    <w:p w14:paraId="7FAEA8DA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72B7E27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供应商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的法定代表人（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，现授权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为我方代理人。代理人根据授权，以我方名义：(1)签署、澄清、补正、修改、撤回、提交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（项目名称、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编号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响应文件；(2)签署并重新提交响应文件及最后报价；(3)退出谈判（如可能）；(4)签订合同和处理有关事宜，其法律后果由我方承担。</w:t>
      </w:r>
    </w:p>
    <w:p w14:paraId="4BAD5A8A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。</w:t>
      </w:r>
    </w:p>
    <w:p w14:paraId="0659AD9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代理人无转委托权。</w:t>
      </w:r>
    </w:p>
    <w:p w14:paraId="51F43BBF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日签字生效，特此声明。</w:t>
      </w:r>
    </w:p>
    <w:tbl>
      <w:tblPr>
        <w:tblStyle w:val="11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7C9E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0055151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5222CC8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  <w:tr w14:paraId="150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7368256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  <w:tc>
          <w:tcPr>
            <w:tcW w:w="3899" w:type="dxa"/>
            <w:noWrap w:val="0"/>
            <w:vAlign w:val="center"/>
          </w:tcPr>
          <w:p w14:paraId="7508DD9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</w:tc>
      </w:tr>
    </w:tbl>
    <w:p w14:paraId="68ED867C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85182D5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C670093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注：供应商代表不是供应商的法定代表人（单位负责人）的提供。</w:t>
      </w:r>
    </w:p>
    <w:p w14:paraId="78E8A8F0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08F6241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2C08662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供应商名称(盖单位公章)：</w:t>
      </w:r>
    </w:p>
    <w:p w14:paraId="5C9E081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定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表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位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责人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（签字或印章）：</w:t>
      </w:r>
    </w:p>
    <w:p w14:paraId="42644F17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委托代理人（签字或印章）：</w:t>
      </w:r>
    </w:p>
    <w:p w14:paraId="1FADD2E6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 xml:space="preserve"> </w:t>
      </w:r>
    </w:p>
    <w:p w14:paraId="2C96E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附件3：报价表格式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397"/>
        <w:gridCol w:w="889"/>
        <w:gridCol w:w="1929"/>
        <w:gridCol w:w="2807"/>
      </w:tblGrid>
      <w:tr w14:paraId="2169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EC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B41C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8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A4A2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9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E8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单价(元)</w:t>
            </w: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E34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总价(元)</w:t>
            </w:r>
          </w:p>
        </w:tc>
      </w:tr>
      <w:tr w14:paraId="2F94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E21DA58">
            <w:pPr>
              <w:pStyle w:val="15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3B213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3F6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14B11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939B7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14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35EA47">
            <w:pPr>
              <w:pStyle w:val="15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C1B26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E35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E35AEE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0F428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F7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4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9C7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10D13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F1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4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FDA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</w:t>
            </w:r>
          </w:p>
        </w:tc>
        <w:tc>
          <w:tcPr>
            <w:tcW w:w="28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074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¥</w:t>
            </w:r>
          </w:p>
        </w:tc>
      </w:tr>
      <w:tr w14:paraId="1BFF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FB2E3B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41D853F1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3570B636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11A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5A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</w:tbl>
    <w:p w14:paraId="5EB80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427D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58B9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DC3D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CF11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79BB2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CA9D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1226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AC79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附件4：技术参数响应表格式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721"/>
        <w:gridCol w:w="1722"/>
        <w:gridCol w:w="1721"/>
        <w:gridCol w:w="2208"/>
      </w:tblGrid>
      <w:tr w14:paraId="3E87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32B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EBF7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4043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BDC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95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7022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00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4818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C67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CD60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9C86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7D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655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F944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3C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11CB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1CA0F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CA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581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076D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5E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5F805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8AC17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AD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BC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2E95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0C81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A63D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CCCBF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9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23E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注：响应情况请填写"满足"或"不满足"，并填写相应佐证说明。</w:t>
            </w:r>
          </w:p>
        </w:tc>
      </w:tr>
    </w:tbl>
    <w:p w14:paraId="1DBED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</w:rPr>
      </w:pPr>
    </w:p>
    <w:p w14:paraId="74960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44D1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B5B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F16D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BBF2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13D1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8583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8801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C77F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5FDA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7E1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附件5：商务条款响应表格式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838"/>
        <w:gridCol w:w="1911"/>
        <w:gridCol w:w="1415"/>
        <w:gridCol w:w="2208"/>
      </w:tblGrid>
      <w:tr w14:paraId="538C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5C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8748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F2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采购文件要求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9C5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94F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841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995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182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9C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9C906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F355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55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01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40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DE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9B7B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EC66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73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98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8F7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D13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AC3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25B0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C0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5C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955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D4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6CD5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3CF62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D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74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288D0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7AEE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1184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97DF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EAD9D18">
      <w:pPr>
        <w:pStyle w:val="15"/>
        <w:numPr>
          <w:ilvl w:val="1"/>
          <w:numId w:val="0"/>
        </w:numPr>
        <w:rPr>
          <w:rFonts w:hint="eastAsia"/>
          <w:lang w:val="en-US" w:eastAsia="zh-CN"/>
        </w:rPr>
      </w:pPr>
    </w:p>
    <w:p w14:paraId="7628F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C85E9D5">
      <w:pPr>
        <w:pStyle w:val="15"/>
        <w:numPr>
          <w:ilvl w:val="1"/>
          <w:numId w:val="0"/>
        </w:numPr>
        <w:ind w:left="1134" w:leftChars="0"/>
        <w:rPr>
          <w:rFonts w:hint="eastAsia"/>
          <w:lang w:val="en-US" w:eastAsia="zh-CN"/>
        </w:rPr>
      </w:pPr>
    </w:p>
    <w:p w14:paraId="4457D59F">
      <w:pPr>
        <w:pStyle w:val="17"/>
        <w:rPr>
          <w:rFonts w:hint="eastAsia"/>
          <w:lang w:val="en-US" w:eastAsia="zh-CN"/>
        </w:rPr>
      </w:pPr>
    </w:p>
    <w:p w14:paraId="533FA827">
      <w:pPr>
        <w:pStyle w:val="1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A68B62E">
      <w:pPr>
        <w:pStyle w:val="17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2BDE93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管理办公室</w:t>
      </w:r>
    </w:p>
    <w:p w14:paraId="25304C3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号    </w:t>
      </w:r>
    </w:p>
    <w:p w14:paraId="44B1D2E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000</w:t>
      </w:r>
    </w:p>
    <w:p w14:paraId="63E510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89CA"/>
    <w:multiLevelType w:val="multilevel"/>
    <w:tmpl w:val="9CC389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80E7F28"/>
    <w:multiLevelType w:val="multilevel"/>
    <w:tmpl w:val="D80E7F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15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2D001E11"/>
    <w:multiLevelType w:val="multilevel"/>
    <w:tmpl w:val="2D001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8D2D1B7"/>
    <w:multiLevelType w:val="multilevel"/>
    <w:tmpl w:val="48D2D1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48D16CD"/>
    <w:multiLevelType w:val="multilevel"/>
    <w:tmpl w:val="748D16CD"/>
    <w:lvl w:ilvl="0" w:tentative="0">
      <w:start w:val="1"/>
      <w:numFmt w:val="decimal"/>
      <w:pStyle w:val="16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47E7"/>
    <w:rsid w:val="01200ACE"/>
    <w:rsid w:val="01E74ACC"/>
    <w:rsid w:val="030F42DA"/>
    <w:rsid w:val="03C40A7E"/>
    <w:rsid w:val="04E15802"/>
    <w:rsid w:val="06400C4E"/>
    <w:rsid w:val="066466EB"/>
    <w:rsid w:val="075A189C"/>
    <w:rsid w:val="07B23486"/>
    <w:rsid w:val="0A4505E1"/>
    <w:rsid w:val="0A4D56E8"/>
    <w:rsid w:val="0A76228F"/>
    <w:rsid w:val="0DBC0BBA"/>
    <w:rsid w:val="0DC67C8B"/>
    <w:rsid w:val="0DEB5944"/>
    <w:rsid w:val="0FB44675"/>
    <w:rsid w:val="11FC3C7B"/>
    <w:rsid w:val="1367781A"/>
    <w:rsid w:val="13B5667C"/>
    <w:rsid w:val="15AC59B8"/>
    <w:rsid w:val="17011D34"/>
    <w:rsid w:val="17035AAC"/>
    <w:rsid w:val="17C00EA8"/>
    <w:rsid w:val="1A081F48"/>
    <w:rsid w:val="1A1B310D"/>
    <w:rsid w:val="1C0D1A78"/>
    <w:rsid w:val="1C7865F4"/>
    <w:rsid w:val="1CC63804"/>
    <w:rsid w:val="1D6B6159"/>
    <w:rsid w:val="1F5A0233"/>
    <w:rsid w:val="20E73D48"/>
    <w:rsid w:val="22356493"/>
    <w:rsid w:val="23377209"/>
    <w:rsid w:val="234E4553"/>
    <w:rsid w:val="258B7398"/>
    <w:rsid w:val="25E371D4"/>
    <w:rsid w:val="264D380C"/>
    <w:rsid w:val="26976637"/>
    <w:rsid w:val="27693709"/>
    <w:rsid w:val="277B343D"/>
    <w:rsid w:val="2A5105B0"/>
    <w:rsid w:val="2B1020EE"/>
    <w:rsid w:val="2B2838DB"/>
    <w:rsid w:val="2B821CFF"/>
    <w:rsid w:val="2E954DE4"/>
    <w:rsid w:val="2F2D0876"/>
    <w:rsid w:val="31C932A6"/>
    <w:rsid w:val="320D7387"/>
    <w:rsid w:val="330B7D6A"/>
    <w:rsid w:val="3310712F"/>
    <w:rsid w:val="33D21FDE"/>
    <w:rsid w:val="346F257B"/>
    <w:rsid w:val="34E34015"/>
    <w:rsid w:val="352769B2"/>
    <w:rsid w:val="35D95EFE"/>
    <w:rsid w:val="362D1DA6"/>
    <w:rsid w:val="36302256"/>
    <w:rsid w:val="37D50947"/>
    <w:rsid w:val="391B05DB"/>
    <w:rsid w:val="399D1622"/>
    <w:rsid w:val="3AE5068B"/>
    <w:rsid w:val="3AFD268F"/>
    <w:rsid w:val="3FC27A03"/>
    <w:rsid w:val="402E32EA"/>
    <w:rsid w:val="40B25CC9"/>
    <w:rsid w:val="41384420"/>
    <w:rsid w:val="45AD2F03"/>
    <w:rsid w:val="45C1250B"/>
    <w:rsid w:val="46761547"/>
    <w:rsid w:val="46BF2EEE"/>
    <w:rsid w:val="46FF32EA"/>
    <w:rsid w:val="474F4272"/>
    <w:rsid w:val="48AC74A2"/>
    <w:rsid w:val="4AB724FA"/>
    <w:rsid w:val="4CBD3A2C"/>
    <w:rsid w:val="4D1A0E7E"/>
    <w:rsid w:val="4E065B01"/>
    <w:rsid w:val="4E6C528A"/>
    <w:rsid w:val="4FB1539E"/>
    <w:rsid w:val="52524C16"/>
    <w:rsid w:val="53607736"/>
    <w:rsid w:val="5630526E"/>
    <w:rsid w:val="566B3F2A"/>
    <w:rsid w:val="58093FC9"/>
    <w:rsid w:val="586B07E0"/>
    <w:rsid w:val="59AA17DC"/>
    <w:rsid w:val="59F34F31"/>
    <w:rsid w:val="5A382F5D"/>
    <w:rsid w:val="5A9B2ED2"/>
    <w:rsid w:val="5C2E04A2"/>
    <w:rsid w:val="5C7B745F"/>
    <w:rsid w:val="5DCD7847"/>
    <w:rsid w:val="5E916AC6"/>
    <w:rsid w:val="5F36420B"/>
    <w:rsid w:val="6100476F"/>
    <w:rsid w:val="61CB6793"/>
    <w:rsid w:val="652F0DE7"/>
    <w:rsid w:val="661F70AE"/>
    <w:rsid w:val="662C633B"/>
    <w:rsid w:val="663303D2"/>
    <w:rsid w:val="666351EC"/>
    <w:rsid w:val="6B4F21E3"/>
    <w:rsid w:val="6BC54253"/>
    <w:rsid w:val="6CE93F71"/>
    <w:rsid w:val="6D8475D7"/>
    <w:rsid w:val="6DC522E8"/>
    <w:rsid w:val="6EDD3662"/>
    <w:rsid w:val="6F5558EE"/>
    <w:rsid w:val="6FAD572A"/>
    <w:rsid w:val="71EF3DD8"/>
    <w:rsid w:val="732D1665"/>
    <w:rsid w:val="74E87390"/>
    <w:rsid w:val="750445C0"/>
    <w:rsid w:val="75793C38"/>
    <w:rsid w:val="765661D4"/>
    <w:rsid w:val="77C7038B"/>
    <w:rsid w:val="78D930EC"/>
    <w:rsid w:val="7C7C5B04"/>
    <w:rsid w:val="7C907F65"/>
    <w:rsid w:val="7D103CD8"/>
    <w:rsid w:val="7DAA63C6"/>
    <w:rsid w:val="7E7C69F3"/>
    <w:rsid w:val="7F8F6BFA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8">
    <w:name w:val="endnote text"/>
    <w:basedOn w:val="1"/>
    <w:unhideWhenUsed/>
    <w:qFormat/>
    <w:uiPriority w:val="99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ind w:firstLine="420" w:firstLineChars="100"/>
    </w:pPr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引言二级条标题"/>
    <w:basedOn w:val="16"/>
    <w:next w:val="17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16">
    <w:name w:val="引言一级条标题"/>
    <w:basedOn w:val="1"/>
    <w:next w:val="17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1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/>
    </w:pPr>
    <w:rPr>
      <w:rFonts w:ascii="Calibri" w:hAnsi="Calibri"/>
      <w:szCs w:val="22"/>
    </w:rPr>
  </w:style>
  <w:style w:type="character" w:customStyle="1" w:styleId="19">
    <w:name w:val="10"/>
    <w:basedOn w:val="13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标题 41"/>
    <w:basedOn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3097</Words>
  <Characters>3340</Characters>
  <Lines>0</Lines>
  <Paragraphs>0</Paragraphs>
  <TotalTime>57</TotalTime>
  <ScaleCrop>false</ScaleCrop>
  <LinksUpToDate>false</LinksUpToDate>
  <CharactersWithSpaces>3455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dcterms:modified xsi:type="dcterms:W3CDTF">2025-09-25T08:42:58Z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eyJoZGlkIjoiNzk3OWNmODIyYjYyMjI1ODczMjA3NWMxNzk0ZTg5YmUiLCJ1c2VySWQiOiIzMzcxNDI2NTkifQ==</vt:lpwstr>
  </property>
  <property fmtid="{D5CDD505-2E9C-101B-9397-08002B2CF9AE}" pid="4" name="ICV">
    <vt:lpwstr>7684AF8160704634871DFDFDC7FA89CD_13</vt:lpwstr>
  </property>
</Properties>
</file>