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</w:p>
    <w:p>
      <w:pPr>
        <w:pStyle w:val="3"/>
        <w:spacing w:beforeAutospacing="0" w:afterAutospacing="0" w:line="600" w:lineRule="exact"/>
        <w:jc w:val="center"/>
        <w:rPr>
          <w:rFonts w:ascii="Times New Roman" w:hAnsi="Times New Roman" w:eastAsia="方正小标宋简体" w:cs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u w:val="none"/>
          <w:lang w:eastAsia="zh-CN"/>
        </w:rPr>
        <w:t>“荷尖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u w:val="none"/>
          <w:lang w:eastAsia="zh-CN"/>
        </w:rPr>
        <w:t>”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u w:val="none"/>
          <w:lang w:eastAsia="zh-CN"/>
        </w:rPr>
        <w:t>人才推荐</w:t>
      </w:r>
      <w:r>
        <w:rPr>
          <w:rFonts w:ascii="Times New Roman" w:hAnsi="Times New Roman" w:eastAsia="方正小标宋简体" w:cs="方正小标宋简体"/>
          <w:b w:val="0"/>
          <w:bCs/>
          <w:color w:val="auto"/>
          <w:sz w:val="44"/>
          <w:szCs w:val="44"/>
          <w:u w:val="none"/>
        </w:rPr>
        <w:t>名额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auto"/>
          <w:u w:val="none"/>
        </w:rPr>
      </w:pPr>
    </w:p>
    <w:tbl>
      <w:tblPr>
        <w:tblStyle w:val="7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472"/>
        <w:gridCol w:w="1328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tblHeader/>
          <w:jc w:val="center"/>
        </w:trPr>
        <w:tc>
          <w:tcPr>
            <w:tcW w:w="478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  <w:t>推荐单位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  <w:t>限额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数量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长沙市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15+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4（产业集群）=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株洲市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5+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4（产业集群）=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湘潭市、衡阳市、岳阳市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其余市州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国家高新区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478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省直部门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卫健委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10个，其他省直部门5个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部属高校</w:t>
            </w:r>
          </w:p>
        </w:tc>
        <w:tc>
          <w:tcPr>
            <w:tcW w:w="2472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中南大学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学校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15+1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5（建设学科）+3（培育学科）=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附属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医院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每家增加3个名额,总计不超过9个名额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15+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9（建设学科）+3（培育学科）=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国防科技大学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15+1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5（建设学科）+4（培育学科）=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省属“双一流”高校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湖南师范大学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+3（建设学科）+2（培育学科）=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湘潭大学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+3（建设学科）+1（培育学科）=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长沙理工大学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10+1（培育学科）=11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湖南农业大学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10+2（培育学科）=12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中南林业科技大学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10+1（培育学科）=11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湖南科技大学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10+1（培育学科）=11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湖南中医药大学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学校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10+1（培育学科）=11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附属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医院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每家增加2个名额,总计不超过4个名额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南华大学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学校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10+1（培育学科）=11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附属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医院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每家增加2个名额,总计不超过4个名额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u w:val="none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湖南工业大学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10+1（培育学科）=11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其余非“双一流”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省属本科院校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具有直接推荐权限的科研院所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t>备注：高校推荐限额主要根据湖南省第二轮“双一流”建设高校和建设学科名单分配。同时，对世界一流建设学科高校每个建设学科增加3个名额，对世界一流培育学科高校每个培育学科增加1个名额。根据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fldChar w:fldCharType="begin"/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instrText xml:space="preserve"> HYPERLINK "https://baike.baidu.com/item/%E5%B7%A5%E4%BF%A1%E9%83%A8/930732?fromModule=lemma_inlink" \t "/home/greatwall/文档\\x/_blank" </w:instrTex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t>工信部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fldChar w:fldCharType="end"/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t>公布45个国家先进制造业集群名单（长沙市、株洲市各2个集群），对我省国家先进制造业集群增加推荐名额，每个集群增加2个名额。增加名额只能在世界一流建设学科、世界一流培育学科、国家先进制造业集群相关科技创新企业内推荐，并在推荐函中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953FA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endnote text"/>
    <w:basedOn w:val="1"/>
    <w:qFormat/>
    <w:uiPriority w:val="0"/>
    <w:pPr>
      <w:snapToGrid w:val="0"/>
      <w:jc w:val="left"/>
    </w:pPr>
  </w:style>
  <w:style w:type="paragraph" w:styleId="6">
    <w:name w:val="Body Text First Indent 2"/>
    <w:basedOn w:val="4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2023-03-29T15:58:17Z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