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 xml:space="preserve"> </w:t>
      </w:r>
    </w:p>
    <w:p>
      <w:pPr>
        <w:jc w:val="both"/>
        <w:rPr>
          <w:rFonts w:hint="eastAsia" w:ascii="仿宋" w:hAnsi="仿宋" w:eastAsia="仿宋" w:cs="仿宋"/>
          <w:b/>
          <w:bCs/>
          <w:sz w:val="52"/>
          <w:szCs w:val="5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2021年度</w:t>
      </w:r>
      <w:r>
        <w:rPr>
          <w:rFonts w:hint="eastAsia" w:ascii="仿宋" w:hAnsi="仿宋" w:eastAsia="仿宋" w:cs="仿宋"/>
          <w:b/>
          <w:bCs/>
          <w:sz w:val="52"/>
          <w:szCs w:val="52"/>
          <w:lang w:val="en-US" w:eastAsia="zh-CN"/>
        </w:rPr>
        <w:t>邵阳学院</w:t>
      </w:r>
      <w:r>
        <w:rPr>
          <w:rFonts w:hint="eastAsia" w:ascii="仿宋" w:hAnsi="仿宋" w:eastAsia="仿宋" w:cs="仿宋"/>
          <w:b/>
          <w:bCs/>
          <w:sz w:val="52"/>
          <w:szCs w:val="52"/>
        </w:rPr>
        <w:t>整体支出</w:t>
      </w:r>
    </w:p>
    <w:p>
      <w:pPr>
        <w:jc w:val="center"/>
        <w:rPr>
          <w:rFonts w:hint="eastAsia" w:ascii="仿宋" w:hAnsi="仿宋" w:eastAsia="仿宋" w:cs="仿宋"/>
          <w:b/>
          <w:bCs/>
          <w:sz w:val="52"/>
          <w:szCs w:val="52"/>
        </w:rPr>
      </w:pPr>
      <w:r>
        <w:rPr>
          <w:rFonts w:hint="eastAsia" w:ascii="仿宋" w:hAnsi="仿宋" w:eastAsia="仿宋" w:cs="仿宋"/>
          <w:b/>
          <w:bCs/>
          <w:sz w:val="52"/>
          <w:szCs w:val="52"/>
        </w:rPr>
        <w:t>绩效自评报告</w:t>
      </w:r>
    </w:p>
    <w:p>
      <w:pPr>
        <w:jc w:val="center"/>
        <w:rPr>
          <w:rFonts w:eastAsia="方正小标宋_GBK"/>
          <w:sz w:val="52"/>
          <w:szCs w:val="52"/>
        </w:rPr>
      </w:pPr>
    </w:p>
    <w:p>
      <w:pPr>
        <w:spacing w:line="600" w:lineRule="exact"/>
        <w:jc w:val="center"/>
        <w:rPr>
          <w:rFonts w:eastAsia="黑体"/>
        </w:rPr>
      </w:pPr>
    </w:p>
    <w:p>
      <w:pPr>
        <w:spacing w:line="600" w:lineRule="exact"/>
        <w:jc w:val="center"/>
        <w:rPr>
          <w:rFonts w:eastAsia="黑体"/>
        </w:rPr>
      </w:pPr>
    </w:p>
    <w:p>
      <w:pPr>
        <w:spacing w:line="600" w:lineRule="exact"/>
        <w:jc w:val="center"/>
        <w:rPr>
          <w:rFonts w:eastAsia="黑体"/>
        </w:rPr>
      </w:pPr>
    </w:p>
    <w:p>
      <w:pPr>
        <w:spacing w:line="60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邵阳学院</w:t>
      </w:r>
      <w:r>
        <w:rPr>
          <w:rFonts w:hint="eastAsia" w:ascii="仿宋_GB2312" w:hAnsi="仿宋_GB2312" w:eastAsia="仿宋_GB2312" w:cs="仿宋_GB2312"/>
          <w:sz w:val="32"/>
          <w:szCs w:val="32"/>
          <w:u w:val="single"/>
        </w:rPr>
        <w:t>（盖章）</w:t>
      </w:r>
    </w:p>
    <w:p>
      <w:pPr>
        <w:spacing w:line="600" w:lineRule="exact"/>
        <w:ind w:firstLine="2880" w:firstLineChars="900"/>
        <w:rPr>
          <w:rFonts w:hint="eastAsia" w:ascii="仿宋_GB2312" w:hAnsi="仿宋_GB2312" w:eastAsia="仿宋_GB2312" w:cs="仿宋_GB2312"/>
          <w:sz w:val="32"/>
          <w:szCs w:val="32"/>
          <w:u w:val="single"/>
        </w:rPr>
      </w:pP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lang w:val="en-US" w:eastAsia="zh-CN"/>
        </w:rPr>
        <w:t>2022</w:t>
      </w:r>
      <w:r>
        <w:rPr>
          <w:rFonts w:hint="eastAsia" w:ascii="楷体" w:hAnsi="楷体" w:eastAsia="楷体" w:cs="楷体"/>
          <w:sz w:val="32"/>
          <w:szCs w:val="32"/>
        </w:rPr>
        <w:t>年</w:t>
      </w:r>
      <w:r>
        <w:rPr>
          <w:rFonts w:hint="eastAsia" w:ascii="楷体" w:hAnsi="楷体" w:eastAsia="楷体" w:cs="楷体"/>
          <w:sz w:val="32"/>
          <w:szCs w:val="32"/>
          <w:lang w:val="en-US" w:eastAsia="zh-CN"/>
        </w:rPr>
        <w:t>4</w:t>
      </w:r>
      <w:r>
        <w:rPr>
          <w:rFonts w:hint="eastAsia" w:ascii="楷体" w:hAnsi="楷体" w:eastAsia="楷体" w:cs="楷体"/>
          <w:sz w:val="32"/>
          <w:szCs w:val="32"/>
        </w:rPr>
        <w:t>月</w:t>
      </w:r>
      <w:r>
        <w:rPr>
          <w:rFonts w:hint="eastAsia" w:ascii="楷体" w:hAnsi="楷体" w:eastAsia="楷体" w:cs="楷体"/>
          <w:sz w:val="32"/>
          <w:szCs w:val="32"/>
          <w:lang w:val="en-US" w:eastAsia="zh-CN"/>
        </w:rPr>
        <w:t>30</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44"/>
          <w:szCs w:val="4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625" w:beforeLines="200" w:after="469" w:afterLines="150"/>
        <w:jc w:val="center"/>
        <w:textAlignment w:val="auto"/>
        <w:rPr>
          <w:rFonts w:hint="eastAsia" w:ascii="黑体" w:hAnsi="黑体" w:eastAsia="黑体" w:cs="黑体"/>
          <w:sz w:val="44"/>
          <w:szCs w:val="44"/>
        </w:rPr>
      </w:pPr>
      <w:r>
        <w:rPr>
          <w:rFonts w:hint="eastAsia" w:ascii="黑体" w:hAnsi="黑体" w:eastAsia="黑体" w:cs="黑体"/>
          <w:sz w:val="44"/>
          <w:szCs w:val="44"/>
        </w:rPr>
        <w:t>2021年度邵阳学院整体支出绩效自评报告</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为</w:t>
      </w:r>
      <w:r>
        <w:rPr>
          <w:rFonts w:hint="eastAsia" w:ascii="仿宋" w:hAnsi="仿宋" w:eastAsia="仿宋" w:cs="仿宋"/>
          <w:color w:val="000000"/>
          <w:sz w:val="32"/>
          <w:szCs w:val="32"/>
        </w:rPr>
        <w:t>进一步规范和加强财政资金使用管理，强化绩效和责任意识，切实提高财政资金使用效益，</w:t>
      </w:r>
      <w:r>
        <w:rPr>
          <w:rFonts w:hint="eastAsia" w:ascii="仿宋" w:hAnsi="仿宋" w:eastAsia="仿宋" w:cs="仿宋"/>
          <w:spacing w:val="6"/>
          <w:sz w:val="32"/>
          <w:szCs w:val="32"/>
        </w:rPr>
        <w:t>根据《湖南省财政厅关于开展2021年度部门整体支出绩效自评工作的通知》（湘财绩〔2022〕1号）和《湖南省教育厅预算支出绩效评价管理办法》（湘教发〔2020〕38号），</w:t>
      </w:r>
      <w:r>
        <w:rPr>
          <w:rFonts w:hint="eastAsia" w:ascii="仿宋" w:hAnsi="仿宋" w:eastAsia="仿宋" w:cs="仿宋"/>
          <w:spacing w:val="6"/>
          <w:sz w:val="32"/>
          <w:szCs w:val="32"/>
          <w:lang w:val="en-US" w:eastAsia="zh-CN"/>
        </w:rPr>
        <w:t>我校组织评价小组实施绩效自评，经过数据资料的采集，分析，汇总形成本绩效自评报告。</w:t>
      </w:r>
    </w:p>
    <w:p>
      <w:pPr>
        <w:numPr>
          <w:ilvl w:val="0"/>
          <w:numId w:val="1"/>
        </w:numPr>
        <w:spacing w:line="600" w:lineRule="exact"/>
        <w:ind w:firstLine="640" w:firstLineChars="200"/>
        <w:rPr>
          <w:rFonts w:eastAsia="黑体"/>
          <w:sz w:val="32"/>
          <w:szCs w:val="32"/>
        </w:rPr>
      </w:pPr>
      <w:r>
        <w:rPr>
          <w:rFonts w:eastAsia="黑体"/>
          <w:sz w:val="32"/>
          <w:szCs w:val="32"/>
        </w:rPr>
        <w:t>单位基本情况</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我校</w:t>
      </w:r>
      <w:r>
        <w:rPr>
          <w:rFonts w:hint="eastAsia" w:ascii="仿宋" w:hAnsi="仿宋" w:eastAsia="仿宋" w:cs="仿宋"/>
          <w:spacing w:val="6"/>
          <w:sz w:val="32"/>
          <w:szCs w:val="32"/>
        </w:rPr>
        <w:t>创建于 1958 年（医学类专业办学历史可追溯到 1906 年），2002 年由原邵阳师范高等专科学校与原邵阳高等专科学校合并升本。学校是湖南省“双一流”高水平应用特色学院，2011年，“服务国家特殊需求人才培养项目”获批，机械、生物与医药专业学位硕士类别开始招收研究生，为湘西南地区唯一一所具有研究生招生资格的高校。2015年获留学生招生资格，2016年邵阳医专整体并入。60多年来，学校发展成为全国毕业生就业典型经验高校，卓越医生教育培养试点项目单位，为社会培养了 17 万多名各类人才。</w:t>
      </w:r>
    </w:p>
    <w:p>
      <w:pPr>
        <w:widowControl/>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lang w:val="en-US" w:eastAsia="zh-CN"/>
        </w:rPr>
        <w:t>我校</w:t>
      </w:r>
      <w:r>
        <w:rPr>
          <w:rFonts w:hint="eastAsia" w:ascii="仿宋" w:hAnsi="仿宋" w:eastAsia="仿宋" w:cs="仿宋"/>
          <w:sz w:val="32"/>
          <w:szCs w:val="32"/>
        </w:rPr>
        <w:t>有李子园、七里坪、西湖、江北四个校区，校园占地面积163.10万平方米，校舍面积92.41万平方米，固定资产14.20亿元，教学科研仪器设备原值2.91亿元，馆藏图书302.37万余册，其中电子图书107万册，中外文纸质报刊1471种，各类数据库及平台50个。</w:t>
      </w:r>
    </w:p>
    <w:p>
      <w:pPr>
        <w:widowControl/>
        <w:spacing w:line="600" w:lineRule="exact"/>
        <w:ind w:firstLine="627" w:firstLineChars="196"/>
      </w:pPr>
      <w:r>
        <w:rPr>
          <w:rFonts w:hint="eastAsia" w:ascii="仿宋" w:hAnsi="仿宋" w:eastAsia="仿宋" w:cs="仿宋"/>
          <w:sz w:val="32"/>
          <w:lang w:val="en-US" w:eastAsia="zh-CN"/>
        </w:rPr>
        <w:t>学校内设党政办等19个党政二级机构、继续教育学院等9个直属机构、经济管理学院等23个教学学院、工会、团委2个群团机构、附属第一、第二2个临床教学医院，</w:t>
      </w:r>
      <w:r>
        <w:rPr>
          <w:rFonts w:hint="eastAsia" w:ascii="仿宋" w:hAnsi="仿宋" w:eastAsia="仿宋" w:cs="仿宋"/>
          <w:sz w:val="32"/>
          <w:szCs w:val="32"/>
        </w:rPr>
        <w:t>有“服务国家特殊需求人才培养项目”机械、生物与医药专业硕士学位类别；53个本科专业，涵盖经济学、法学、教育学、文学、历史学、理学、工学、农学、医学、管理学、艺术学11大学科门类；面向30个省（市、自治区）招生，全日制在校学生2</w:t>
      </w:r>
      <w:r>
        <w:rPr>
          <w:rFonts w:hint="eastAsia" w:ascii="仿宋" w:hAnsi="仿宋" w:eastAsia="仿宋" w:cs="仿宋"/>
          <w:sz w:val="32"/>
          <w:szCs w:val="32"/>
          <w:lang w:val="en-US" w:eastAsia="zh-CN"/>
        </w:rPr>
        <w:t>6966</w:t>
      </w:r>
      <w:r>
        <w:rPr>
          <w:rFonts w:hint="eastAsia" w:ascii="仿宋" w:hAnsi="仿宋" w:eastAsia="仿宋" w:cs="仿宋"/>
          <w:sz w:val="32"/>
          <w:szCs w:val="32"/>
        </w:rPr>
        <w:t>人（不含继续教育学生）。</w:t>
      </w:r>
    </w:p>
    <w:p>
      <w:pPr>
        <w:widowControl/>
        <w:numPr>
          <w:ilvl w:val="0"/>
          <w:numId w:val="1"/>
        </w:numPr>
        <w:spacing w:line="600" w:lineRule="exact"/>
        <w:ind w:left="0" w:leftChars="0" w:firstLine="640" w:firstLineChars="200"/>
        <w:rPr>
          <w:rFonts w:eastAsia="黑体"/>
          <w:sz w:val="32"/>
          <w:szCs w:val="32"/>
        </w:rPr>
      </w:pPr>
      <w:r>
        <w:rPr>
          <w:rFonts w:eastAsia="黑体"/>
          <w:sz w:val="32"/>
          <w:szCs w:val="32"/>
        </w:rPr>
        <w:t>一般公共预算支出情况</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2021年我校一般公共预算支出总计34269.53万元。其中基本支出20804.88万元，项目支出13464.65万元。</w:t>
      </w:r>
    </w:p>
    <w:p>
      <w:pPr>
        <w:widowControl/>
        <w:numPr>
          <w:ilvl w:val="0"/>
          <w:numId w:val="2"/>
        </w:numPr>
        <w:spacing w:line="600" w:lineRule="exact"/>
        <w:ind w:firstLine="640" w:firstLineChars="200"/>
        <w:rPr>
          <w:rFonts w:eastAsia="楷体_GB2312"/>
          <w:sz w:val="32"/>
          <w:szCs w:val="32"/>
        </w:rPr>
      </w:pPr>
      <w:r>
        <w:rPr>
          <w:rFonts w:eastAsia="楷体_GB2312"/>
          <w:sz w:val="32"/>
          <w:szCs w:val="32"/>
        </w:rPr>
        <w:t>基本支出情况</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主要用于人员经费18008.06万元，公用经费2796.82万元。</w:t>
      </w:r>
    </w:p>
    <w:p>
      <w:pPr>
        <w:widowControl/>
        <w:numPr>
          <w:ilvl w:val="0"/>
          <w:numId w:val="2"/>
        </w:numPr>
        <w:spacing w:line="600" w:lineRule="exact"/>
        <w:ind w:left="0" w:leftChars="0" w:firstLine="640" w:firstLineChars="200"/>
        <w:rPr>
          <w:rFonts w:eastAsia="楷体_GB2312"/>
          <w:sz w:val="32"/>
          <w:szCs w:val="32"/>
        </w:rPr>
      </w:pPr>
      <w:r>
        <w:rPr>
          <w:rFonts w:eastAsia="楷体_GB2312"/>
          <w:sz w:val="32"/>
          <w:szCs w:val="32"/>
        </w:rPr>
        <w:t>项目支出情况</w:t>
      </w:r>
    </w:p>
    <w:p>
      <w:pPr>
        <w:ind w:firstLine="664" w:firstLineChars="200"/>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2021年我校省级专项资金主要有高校“双一流”建设专项、公费教师定向培养经费、学生奖助学金、省培计划等，分别支出1139万元、1227万元、2844.97万元、14.7万元。</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省级专项资金以外的其他项目支出总额为8238.98万元。其中基本建设3553万元，商品和服务支出4685.98万元。</w:t>
      </w:r>
    </w:p>
    <w:p>
      <w:pPr>
        <w:widowControl/>
        <w:spacing w:line="600" w:lineRule="exact"/>
        <w:ind w:firstLine="640" w:firstLineChars="200"/>
        <w:jc w:val="left"/>
        <w:rPr>
          <w:rFonts w:eastAsia="黑体"/>
          <w:sz w:val="32"/>
          <w:szCs w:val="32"/>
        </w:rPr>
      </w:pPr>
      <w:r>
        <w:rPr>
          <w:rFonts w:hint="eastAsia" w:eastAsia="黑体"/>
          <w:sz w:val="32"/>
          <w:szCs w:val="32"/>
          <w:lang w:val="en-US" w:eastAsia="zh-CN"/>
        </w:rPr>
        <w:t>三</w:t>
      </w:r>
      <w:r>
        <w:rPr>
          <w:rFonts w:eastAsia="黑体"/>
          <w:sz w:val="32"/>
          <w:szCs w:val="32"/>
        </w:rPr>
        <w:t>、单位整体支出绩效情况</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2021年我校教育事业费支出为89521.76万元，比上年64901.06万元增加24620.70万元，增长37.94%，其中：基本支出完成39652.21万元，占总支出的44.29%，项目支出49869.55万元，占总支出的55.71%，主要是统筹用于医学教育教学、科学研究的专项经费增加。</w:t>
      </w:r>
    </w:p>
    <w:p>
      <w:pPr>
        <w:ind w:firstLine="664" w:firstLineChars="200"/>
        <w:rPr>
          <w:rFonts w:hint="eastAsia"/>
          <w:lang w:val="en-US" w:eastAsia="zh-CN"/>
        </w:rPr>
      </w:pPr>
      <w:r>
        <w:rPr>
          <w:rFonts w:hint="eastAsia" w:ascii="仿宋" w:hAnsi="仿宋" w:eastAsia="仿宋" w:cs="仿宋"/>
          <w:spacing w:val="6"/>
          <w:sz w:val="32"/>
          <w:szCs w:val="32"/>
          <w:lang w:val="en-US" w:eastAsia="zh-CN"/>
        </w:rPr>
        <w:t>通过资料收集、整理、审核和自评分析，学校财务管理规范，严格预算执行，整体支出绩效情况良好。在人员编制数控制、政府采购和“三公”经费预算等方面严格执行了上级政策要求。学校内控制度健全，财务管理、会计核算和专项资金管理、资产管理等各项制度完善，支出符合国家财经法律法规和财务管理制度的规定。学校上下</w:t>
      </w:r>
      <w:r>
        <w:rPr>
          <w:rFonts w:eastAsia="仿宋"/>
          <w:sz w:val="32"/>
          <w:szCs w:val="32"/>
        </w:rPr>
        <w:t>牢固树立过“紧日子”的思想，紧紧围绕“三三六”发展战略，坚持保运转、保重点、保民生、促发展的原则，</w:t>
      </w:r>
      <w:r>
        <w:rPr>
          <w:rFonts w:hint="eastAsia" w:ascii="仿宋" w:hAnsi="仿宋" w:eastAsia="仿宋" w:cs="仿宋"/>
          <w:spacing w:val="6"/>
          <w:sz w:val="32"/>
          <w:szCs w:val="32"/>
          <w:lang w:val="en-US" w:eastAsia="zh-CN"/>
        </w:rPr>
        <w:t>圆满完成了教代会确定的全年工作任务，各项工作取得了一系列成绩，教学质量稳步提升，综合实力逐步增强，师生满意度和社会知名度提高。</w:t>
      </w:r>
    </w:p>
    <w:p>
      <w:pPr>
        <w:pStyle w:val="7"/>
        <w:spacing w:before="0" w:beforeAutospacing="0" w:after="0" w:afterAutospacing="0" w:line="560" w:lineRule="exact"/>
        <w:ind w:firstLine="640" w:firstLineChars="200"/>
        <w:rPr>
          <w:rFonts w:hint="eastAsia" w:ascii="仿宋" w:hAnsi="仿宋" w:eastAsia="仿宋" w:cs="仿宋"/>
          <w:b/>
          <w:sz w:val="30"/>
          <w:szCs w:val="30"/>
        </w:rPr>
      </w:pPr>
      <w:r>
        <w:rPr>
          <w:rFonts w:hint="eastAsia" w:eastAsia="楷体_GB2312" w:asciiTheme="minorHAnsi" w:hAnsiTheme="minorHAnsi" w:cstheme="minorBidi"/>
          <w:color w:val="auto"/>
          <w:kern w:val="2"/>
          <w:sz w:val="32"/>
          <w:szCs w:val="32"/>
          <w:lang w:val="en-US" w:eastAsia="zh-CN" w:bidi="ar-SA"/>
        </w:rPr>
        <w:t>（一）基本支出及“三公”经费管理情况</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1、2021年我校决算基本支出39652.21万元，其中：工资福利支出26532.98万元，商品和服务支出10041.17万元，对个人和家庭的补助支出3078.06万元。</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2021年本单位“三公”经费年初预算数125万元，决算数111.99万元，减少13.01万元，减少10.41%。在公务用车管理方面，根据《邵阳学院公务用车改革暂行办法》，规范公务用车，降低了运行费用；在公务接待管理方面，根据《邵阳学院国内公务接待实施细则（修订）》，严格控制接待经费，坚决禁止违规职务消费和公款大吃大喝，公务接待由院党政办统一归口管理；本年度我校没有公务出国（境）。</w:t>
      </w:r>
    </w:p>
    <w:p>
      <w:pPr>
        <w:spacing w:line="560" w:lineRule="exact"/>
        <w:ind w:firstLine="640" w:firstLineChars="200"/>
        <w:jc w:val="left"/>
        <w:rPr>
          <w:rFonts w:hint="eastAsia" w:ascii="仿宋" w:hAnsi="仿宋" w:eastAsia="仿宋" w:cs="仿宋"/>
          <w:b/>
          <w:color w:val="000000"/>
          <w:kern w:val="0"/>
          <w:sz w:val="30"/>
          <w:szCs w:val="30"/>
        </w:rPr>
      </w:pPr>
      <w:r>
        <w:rPr>
          <w:rFonts w:hint="eastAsia" w:eastAsia="楷体_GB2312" w:asciiTheme="minorHAnsi" w:hAnsiTheme="minorHAnsi" w:cstheme="minorBidi"/>
          <w:color w:val="auto"/>
          <w:kern w:val="2"/>
          <w:sz w:val="32"/>
          <w:szCs w:val="32"/>
          <w:lang w:val="en-US" w:eastAsia="zh-CN" w:bidi="ar-SA"/>
        </w:rPr>
        <w:t>（二）项目支出管理情况</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2021年我校决算项目支出49869.55万元，其中：业务工作专项37742.96万元，运行维护专项9760.6万元，省级“双一流”专项1139万元，农村教师公费定向培养1227万元。</w:t>
      </w:r>
    </w:p>
    <w:p>
      <w:pPr>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1、业务工作专项支出绩效情况</w:t>
      </w:r>
    </w:p>
    <w:p>
      <w:pPr>
        <w:widowControl/>
        <w:spacing w:line="560" w:lineRule="exact"/>
        <w:ind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双一流”建设不断推进。一是学科专业建设明显加强。以国家级、省级一流专业建设为重点，聚焦专业内涵与特色，不断提升专业建设水平。启动新一轮人才培养方案修订，突出学生能力培养。工程教育专业认证首次完成专家现场考查，会计学获批国家级一流专业建设点。扎实推进国家级、省级一流专业建设，11个专业通过省教育厅的评审推荐参评国家级一流专业。6个省级“双一流”应用特色学科通过检查。二是人才培养质量不断提升。24门课程获得湖南省一流本科课程立项，一流课程建设首次实现“大满贯”，我校国家级、省级一流课程总数达到60门。教育部产学合作协同育人项目立项73项，获湖南省新文科研究与改革实践项目立项2项，获得国家级、省级一等奖18项、二等奖52项、三等奖45项，教学改革项目立项数首次破百。大学生广告设计竞赛获国家级一等奖3项、大学生数学建模竞赛获国家一等奖。研究生培养条件得到进一步改善，全年获批立项湖南省研究生联合培养基地项目1项，湖南省学位与研究生教学改革研究项目3项，湖南省研究生科研创新项目16项。</w:t>
      </w:r>
    </w:p>
    <w:p>
      <w:pPr>
        <w:widowControl/>
        <w:spacing w:line="560" w:lineRule="exact"/>
        <w:ind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科研立项和平台建设扎实推进。一是科研立项有增加。获国家自然科学基金青年项目1项。获省社科优秀成果三等奖1项，申报省科学技术奖项目11项，确定2022年省科学奖培育项目5项。共推荐省哲学社会科学基金项目48项、省教育厅科技项目92项、市科技及项目120余项。二是平台建设有提升。国家自然科学基金青年项目实现新突破，生物医药科技创新公共平台、省高校知识产权中心等建设全面推进。积极开展首届中国豆制品加工技术创新技术发展论坛等学术交流和学术研讨活动，承办第十三届中国音乐金钟奖湖南选拔赛。积极推进校史馆建设，收集整理校史物件11份，采集修复历届毕业生影像档案69851份。</w:t>
      </w:r>
    </w:p>
    <w:p>
      <w:pPr>
        <w:widowControl/>
        <w:spacing w:line="560" w:lineRule="exact"/>
        <w:ind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社会服务水平不断提高。一是产学研融合不断深化。构建“城校共生”发展新模式，大力推进产学研合作及成果转化，大力推进双百工程，联合邵阳市政府召开知识产权成果转化对接会，横向课题科研项目进校经费4407万元。申请发明专利142项、实用新型专利114项、外观设计4项。两所附属医院完成总收入超10亿元，门急诊人数近90万人次，为健康邵阳贡献重要力量。二是对外开放步伐不断加快。加强与湖南中医药大学、长沙理工大学等国内院校的交流。积极探索拓展国际合作领域，与老挝、俄罗斯利佩茨克国立师范大学俄中中心、马来西亚北方大学达成初步合作意愿，筹建老挝研究院。推进与英国威尔士三一圣大卫大学、美国罗文大学合作。全年共招收11名国际学生。</w:t>
      </w:r>
    </w:p>
    <w:p>
      <w:pPr>
        <w:pStyle w:val="8"/>
        <w:spacing w:line="560" w:lineRule="exact"/>
        <w:ind w:left="0" w:leftChars="0" w:firstLine="643"/>
        <w:rPr>
          <w:rFonts w:hint="eastAsia"/>
          <w:b w:val="0"/>
          <w:bCs w:val="0"/>
          <w:sz w:val="32"/>
          <w:szCs w:val="32"/>
          <w:lang w:val="en-US" w:eastAsia="zh-CN"/>
        </w:rPr>
      </w:pPr>
      <w:r>
        <w:rPr>
          <w:rFonts w:hint="eastAsia" w:ascii="仿宋" w:hAnsi="仿宋" w:eastAsia="仿宋" w:cs="仿宋"/>
          <w:b w:val="0"/>
          <w:bCs w:val="0"/>
          <w:kern w:val="2"/>
          <w:sz w:val="32"/>
          <w:szCs w:val="32"/>
          <w:highlight w:val="none"/>
          <w:lang w:val="en-US" w:eastAsia="zh-CN" w:bidi="ar-SA"/>
        </w:rPr>
        <w:t>（4）“三全育人”成效显著。一是全面深化“三全育人”。制定《邵阳学院“三全育人”综合改革建设方案》，努力推动形成“大思政”格局。举办“525大学生心理健康教育活动周”系列活动、“红心向党·感恩资助”资助育人系列主题活动；召开了邵阳学院第三次学生代表大会。举办“为时代育新人”高校优秀思想政治工作者（优秀团队）潇湘论坛。举办 2021 年辅导员培训及第九届辅导员素质能力大赛，1人获“省高校辅导员年度人物”提名奖；获省教育厅课程思政教学竞赛三等奖2项，学校思政课主体性教学改革模式被光明网推介，被《中国教育报》报道。学校被评为“省高校辅导员工作研究与实践先进单位”“省高等学校征兵工作先进单位”。二是不断推进协同育人。积极探索实施“日常教育＋专项工作＋X”的生态育人模式，推进“一院一品”校园文化建设。共青团获国家级奖项共11项，省级214项、市级10项，被评为全国“三下乡”先进单位、全国高校“活力团支部”。24名志愿者报名“西部计划”，创历史新高。在省第九届“求真杯”大学生课外学术科技作品竞赛中获二等奖2项、三等奖4项。1人被评为第十三届中国青年志愿者优秀个人，2人被评为2020年度“中国大学生自强之星”，1人被评为“湖南省优秀共青团员”。</w:t>
      </w:r>
    </w:p>
    <w:p>
      <w:pPr>
        <w:spacing w:line="56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2、运行维护专项支出绩效情况</w:t>
      </w:r>
    </w:p>
    <w:p>
      <w:pPr>
        <w:pStyle w:val="7"/>
        <w:spacing w:before="0" w:beforeAutospacing="0" w:after="0" w:afterAutospacing="0"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20</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highlight w:val="none"/>
        </w:rPr>
        <w:t>年，运行维护专项支出</w:t>
      </w:r>
      <w:r>
        <w:rPr>
          <w:rFonts w:hint="eastAsia" w:ascii="仿宋" w:hAnsi="仿宋" w:eastAsia="仿宋" w:cs="仿宋"/>
          <w:b w:val="0"/>
          <w:bCs w:val="0"/>
          <w:sz w:val="32"/>
          <w:szCs w:val="32"/>
          <w:highlight w:val="none"/>
          <w:lang w:val="en-US" w:eastAsia="zh-CN"/>
        </w:rPr>
        <w:t>9760.6</w:t>
      </w:r>
      <w:r>
        <w:rPr>
          <w:rFonts w:hint="eastAsia" w:ascii="仿宋" w:hAnsi="仿宋" w:eastAsia="仿宋" w:cs="仿宋"/>
          <w:b w:val="0"/>
          <w:bCs w:val="0"/>
          <w:sz w:val="32"/>
          <w:szCs w:val="32"/>
          <w:highlight w:val="none"/>
        </w:rPr>
        <w:t>万元，其中教学</w:t>
      </w:r>
      <w:r>
        <w:rPr>
          <w:rFonts w:hint="eastAsia" w:ascii="仿宋" w:hAnsi="仿宋" w:eastAsia="仿宋" w:cs="仿宋"/>
          <w:b w:val="0"/>
          <w:bCs w:val="0"/>
          <w:sz w:val="32"/>
          <w:szCs w:val="32"/>
          <w:highlight w:val="none"/>
          <w:lang w:eastAsia="zh-CN"/>
        </w:rPr>
        <w:t>仪器</w:t>
      </w:r>
      <w:r>
        <w:rPr>
          <w:rFonts w:hint="eastAsia" w:ascii="仿宋" w:hAnsi="仿宋" w:eastAsia="仿宋" w:cs="仿宋"/>
          <w:b w:val="0"/>
          <w:bCs w:val="0"/>
          <w:sz w:val="32"/>
          <w:szCs w:val="32"/>
          <w:highlight w:val="none"/>
        </w:rPr>
        <w:t>设备</w:t>
      </w:r>
      <w:r>
        <w:rPr>
          <w:rFonts w:hint="eastAsia" w:ascii="仿宋" w:hAnsi="仿宋" w:eastAsia="仿宋" w:cs="仿宋"/>
          <w:b w:val="0"/>
          <w:bCs w:val="0"/>
          <w:sz w:val="32"/>
          <w:szCs w:val="32"/>
          <w:highlight w:val="none"/>
          <w:lang w:eastAsia="zh-CN"/>
        </w:rPr>
        <w:t>购置</w:t>
      </w:r>
      <w:r>
        <w:rPr>
          <w:rFonts w:hint="eastAsia" w:ascii="仿宋" w:hAnsi="仿宋" w:eastAsia="仿宋" w:cs="仿宋"/>
          <w:b w:val="0"/>
          <w:bCs w:val="0"/>
          <w:sz w:val="32"/>
          <w:szCs w:val="32"/>
          <w:highlight w:val="none"/>
          <w:lang w:val="en-US" w:eastAsia="zh-CN"/>
        </w:rPr>
        <w:t>1946.97</w:t>
      </w:r>
      <w:r>
        <w:rPr>
          <w:rFonts w:hint="eastAsia" w:ascii="仿宋" w:hAnsi="仿宋" w:eastAsia="仿宋" w:cs="仿宋"/>
          <w:b w:val="0"/>
          <w:bCs w:val="0"/>
          <w:sz w:val="32"/>
          <w:szCs w:val="32"/>
          <w:highlight w:val="none"/>
        </w:rPr>
        <w:t>万元，图书资料购置</w:t>
      </w:r>
      <w:r>
        <w:rPr>
          <w:rFonts w:hint="eastAsia" w:ascii="仿宋" w:hAnsi="仿宋" w:eastAsia="仿宋" w:cs="仿宋"/>
          <w:b w:val="0"/>
          <w:bCs w:val="0"/>
          <w:sz w:val="32"/>
          <w:szCs w:val="32"/>
          <w:highlight w:val="none"/>
          <w:lang w:val="en-US" w:eastAsia="zh-CN"/>
        </w:rPr>
        <w:t>129.32</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房屋建筑物构建及大型修缮</w:t>
      </w:r>
      <w:r>
        <w:rPr>
          <w:rFonts w:hint="eastAsia" w:ascii="仿宋" w:hAnsi="仿宋" w:eastAsia="仿宋" w:cs="仿宋"/>
          <w:b w:val="0"/>
          <w:bCs w:val="0"/>
          <w:sz w:val="32"/>
          <w:szCs w:val="32"/>
          <w:highlight w:val="none"/>
          <w:lang w:val="en-US" w:eastAsia="zh-CN"/>
        </w:rPr>
        <w:t>7301.34</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，基础设施建设</w:t>
      </w:r>
      <w:r>
        <w:rPr>
          <w:rFonts w:hint="eastAsia" w:ascii="仿宋" w:hAnsi="仿宋" w:eastAsia="仿宋" w:cs="仿宋"/>
          <w:b w:val="0"/>
          <w:bCs w:val="0"/>
          <w:sz w:val="32"/>
          <w:szCs w:val="32"/>
          <w:highlight w:val="none"/>
          <w:lang w:val="en-US" w:eastAsia="zh-CN"/>
        </w:rPr>
        <w:t>295.02万元。</w:t>
      </w:r>
    </w:p>
    <w:p>
      <w:pPr>
        <w:autoSpaceDE w:val="0"/>
        <w:autoSpaceDN w:val="0"/>
        <w:adjustRightInd w:val="0"/>
        <w:spacing w:line="560" w:lineRule="exact"/>
        <w:ind w:left="105" w:leftChars="50" w:right="105" w:rightChars="5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维护安全稳定。完善常态化疫情防控体系，出台《邵阳学院师生接种新冠疫苗工作方案》。通过规范、有序的组织，全校师生有29790人次接种了第一、二、三针剂疫苗，接种率达到99.48%，为全校师生构建免疫屏障。制定</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《开展“大家访、大排查、大整治”教育安全集中攻坚行动的实施方案》, 建立健全常态化的安全隐患排查整治机制和安全事故应急处置机制，做好网络信息系统服务与网络安全工作，坚决遏制校园安全事故，严防发生各类群体性事件，确保师生生命安全和校园大局稳定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w:t>
      </w:r>
      <w:r>
        <w:rPr>
          <w:rFonts w:hint="eastAsia" w:ascii="仿宋" w:hAnsi="仿宋" w:eastAsia="仿宋" w:cs="仿宋"/>
          <w:b w:val="0"/>
          <w:bCs w:val="0"/>
          <w:sz w:val="32"/>
          <w:szCs w:val="32"/>
          <w:lang w:val="en-US" w:eastAsia="zh-CN"/>
        </w:rPr>
        <w:t>教学基础</w:t>
      </w:r>
      <w:r>
        <w:rPr>
          <w:rFonts w:hint="eastAsia" w:ascii="仿宋" w:hAnsi="仿宋" w:eastAsia="仿宋" w:cs="仿宋"/>
          <w:b w:val="0"/>
          <w:bCs w:val="0"/>
          <w:sz w:val="32"/>
          <w:szCs w:val="32"/>
        </w:rPr>
        <w:t>建设。</w:t>
      </w:r>
      <w:r>
        <w:rPr>
          <w:rFonts w:hint="eastAsia" w:ascii="仿宋" w:hAnsi="仿宋" w:eastAsia="仿宋" w:cs="仿宋"/>
          <w:b w:val="0"/>
          <w:bCs w:val="0"/>
          <w:sz w:val="32"/>
          <w:szCs w:val="32"/>
          <w:lang w:val="en-US" w:eastAsia="zh-CN"/>
        </w:rPr>
        <w:t>电气实训楼和基础医学实训楼主体完工（建筑总面积28956.34平方米），电气工程类省级大学生创新创业教育中心等教学平台条件将得到明显改善。</w:t>
      </w:r>
      <w:r>
        <w:rPr>
          <w:rFonts w:hint="eastAsia" w:ascii="仿宋" w:hAnsi="仿宋" w:eastAsia="仿宋" w:cs="仿宋"/>
          <w:b w:val="0"/>
          <w:bCs w:val="0"/>
          <w:sz w:val="32"/>
          <w:szCs w:val="32"/>
        </w:rPr>
        <w:t>全年完成采购项目99个（审批金额4011万元)；完成基建、维修项目、物资设备采购审计项目149个，共核减550余万元。</w:t>
      </w:r>
    </w:p>
    <w:p>
      <w:pPr>
        <w:pStyle w:val="8"/>
        <w:autoSpaceDE w:val="0"/>
        <w:autoSpaceDN w:val="0"/>
        <w:adjustRightInd w:val="0"/>
        <w:spacing w:line="560" w:lineRule="exact"/>
        <w:ind w:left="10" w:leftChars="0" w:firstLine="643"/>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建设文明校园。以创文为契机，全面推进文明校园创建，加强校园精品文化活动建设，开展第六届“礼敬中华优秀</w:t>
      </w:r>
      <w:r>
        <w:rPr>
          <w:rFonts w:hint="eastAsia" w:ascii="仿宋" w:hAnsi="仿宋" w:eastAsia="仿宋" w:cs="仿宋"/>
          <w:b w:val="0"/>
          <w:bCs w:val="0"/>
          <w:spacing w:val="-1"/>
          <w:sz w:val="32"/>
          <w:szCs w:val="32"/>
        </w:rPr>
        <w:t>传统文化”系列活动，</w:t>
      </w:r>
      <w:r>
        <w:rPr>
          <w:rFonts w:hint="eastAsia" w:ascii="仿宋" w:hAnsi="仿宋" w:eastAsia="仿宋" w:cs="仿宋"/>
          <w:b w:val="0"/>
          <w:bCs w:val="0"/>
          <w:sz w:val="32"/>
          <w:szCs w:val="32"/>
        </w:rPr>
        <w:t>效果良好。与农业银行合作，大力推进智慧校园建设。高质量完成了电气实训楼、基础医学实训楼、李子园校区桃李公寓卫生间增设、李子园七里坪道路改造、人工湖污水管改造等工程项目。创新后勤报修平台，完成维修任务9656单。加强图书馆文献资源建设，</w:t>
      </w:r>
      <w:r>
        <w:rPr>
          <w:rFonts w:hint="eastAsia" w:ascii="仿宋" w:hAnsi="仿宋" w:eastAsia="仿宋" w:cs="仿宋"/>
          <w:b w:val="0"/>
          <w:bCs w:val="0"/>
          <w:sz w:val="32"/>
          <w:szCs w:val="32"/>
          <w:shd w:val="clear" w:color="auto" w:fill="FFFFFF"/>
        </w:rPr>
        <w:t>积极开展“一校一书”阅读推广活动，打造书香校园；</w:t>
      </w:r>
      <w:r>
        <w:rPr>
          <w:rFonts w:hint="eastAsia" w:ascii="仿宋" w:hAnsi="仿宋" w:eastAsia="仿宋" w:cs="仿宋"/>
          <w:b w:val="0"/>
          <w:bCs w:val="0"/>
          <w:sz w:val="32"/>
          <w:szCs w:val="32"/>
        </w:rPr>
        <w:t>大力实施节能、节水、节粮、垃圾分类等绿色管理，构建绿色校园。</w:t>
      </w:r>
    </w:p>
    <w:p>
      <w:pPr>
        <w:spacing w:line="560" w:lineRule="exact"/>
        <w:ind w:firstLine="640" w:firstLineChars="200"/>
        <w:jc w:val="left"/>
        <w:rPr>
          <w:rFonts w:hint="eastAsia" w:eastAsia="楷体_GB2312" w:asciiTheme="minorHAnsi" w:hAnsiTheme="minorHAnsi" w:cstheme="minorBidi"/>
          <w:color w:val="auto"/>
          <w:kern w:val="2"/>
          <w:sz w:val="32"/>
          <w:szCs w:val="32"/>
          <w:lang w:val="en-US" w:eastAsia="zh-CN" w:bidi="ar-SA"/>
        </w:rPr>
      </w:pPr>
      <w:r>
        <w:rPr>
          <w:rFonts w:hint="eastAsia" w:eastAsia="楷体_GB2312" w:asciiTheme="minorHAnsi" w:hAnsiTheme="minorHAnsi" w:cstheme="minorBidi"/>
          <w:color w:val="auto"/>
          <w:kern w:val="2"/>
          <w:sz w:val="32"/>
          <w:szCs w:val="32"/>
          <w:lang w:val="en-US" w:eastAsia="zh-CN" w:bidi="ar-SA"/>
        </w:rPr>
        <w:t>（三）楼堂馆所控制及政府采购执行情况</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我校严格控制行政办公用房的建设，严格执行办公用房的使用标准，没有新建楼堂馆所。</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严格执行《采购法》《湖南省政府采购工作规范》和湖南省有关政府采购的各项政策，依法依规实行政府采购，圆满完成了全年的政府采购任务。一是建立了采购需求制定、采购预算、计划申报、项目评审、现场监督、合同签订及项目验收等关键环节的内部控制制度，形成了由申报单位、监察部门、基建处、</w:t>
      </w:r>
      <w:r>
        <w:rPr>
          <w:rFonts w:hint="eastAsia" w:ascii="仿宋" w:hAnsi="仿宋" w:eastAsia="仿宋" w:cs="仿宋"/>
          <w:spacing w:val="6"/>
          <w:sz w:val="32"/>
          <w:szCs w:val="32"/>
          <w:lang w:val="en-US" w:eastAsia="zh-CN"/>
        </w:rPr>
        <w:t>后勤服务中心</w:t>
      </w:r>
      <w:r>
        <w:rPr>
          <w:rFonts w:hint="eastAsia" w:ascii="仿宋" w:hAnsi="仿宋" w:eastAsia="仿宋" w:cs="仿宋"/>
          <w:spacing w:val="6"/>
          <w:sz w:val="32"/>
          <w:szCs w:val="32"/>
        </w:rPr>
        <w:t>、审计处、</w:t>
      </w:r>
      <w:r>
        <w:rPr>
          <w:rFonts w:hint="eastAsia" w:ascii="仿宋" w:hAnsi="仿宋" w:eastAsia="仿宋" w:cs="仿宋"/>
          <w:spacing w:val="6"/>
          <w:sz w:val="32"/>
          <w:szCs w:val="32"/>
          <w:lang w:val="en-US" w:eastAsia="zh-CN"/>
        </w:rPr>
        <w:t>计划</w:t>
      </w:r>
      <w:r>
        <w:rPr>
          <w:rFonts w:hint="eastAsia" w:ascii="仿宋" w:hAnsi="仿宋" w:eastAsia="仿宋" w:cs="仿宋"/>
          <w:spacing w:val="6"/>
          <w:sz w:val="32"/>
          <w:szCs w:val="32"/>
        </w:rPr>
        <w:t>财务处、资产处等部门之间互相协调、制衡的工作运行机制；二是建立了完善的政府采购档案管理制度，对政府采购项目分项立卷存档，存入学校档案室统一保管，严格按档案管理制度规范管理。</w:t>
      </w:r>
    </w:p>
    <w:p>
      <w:pPr>
        <w:spacing w:line="560" w:lineRule="exact"/>
        <w:ind w:firstLine="640" w:firstLineChars="200"/>
        <w:jc w:val="left"/>
        <w:rPr>
          <w:rFonts w:hint="eastAsia" w:eastAsia="楷体_GB2312" w:asciiTheme="minorHAnsi" w:hAnsiTheme="minorHAnsi" w:cstheme="minorBidi"/>
          <w:color w:val="auto"/>
          <w:kern w:val="2"/>
          <w:sz w:val="32"/>
          <w:szCs w:val="32"/>
          <w:lang w:val="en-US" w:eastAsia="zh-CN" w:bidi="ar-SA"/>
        </w:rPr>
      </w:pPr>
      <w:r>
        <w:rPr>
          <w:rFonts w:hint="eastAsia" w:eastAsia="楷体_GB2312" w:asciiTheme="minorHAnsi" w:hAnsiTheme="minorHAnsi" w:cstheme="minorBidi"/>
          <w:color w:val="auto"/>
          <w:kern w:val="2"/>
          <w:sz w:val="32"/>
          <w:szCs w:val="32"/>
          <w:lang w:val="en-US" w:eastAsia="zh-CN" w:bidi="ar-SA"/>
        </w:rPr>
        <w:t>（四）预算管理情况</w:t>
      </w:r>
    </w:p>
    <w:p>
      <w:pPr>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我校认真贯彻执行新《预算法》，科学合理编制预算，优化支出结构，坚持预算刚性，提高预算管理的前瞻性。一是在预算指标和额度上，杜绝无预算或超预算支出。有效控制支出，实现收支平衡；二是在预算执行的时间上，努力加快预算执行进度。除特殊情况确需结转以外，所有基本支出都不跨年度，在预算年度内完成，做到及时完成支出，提高资金使用效率；三是在资金使用上，厉行节约，反对浪费。控制一般公用经费，压缩一般行政性支出，保持“三公”经费零增长，努力降低运行成本，优化资源配置；四是有力推行财政支出绩效评价，让有限的资金发挥最大的效益</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五是建立和完善内部控制制度；六是财务预、决算信息按时按要求公开。</w:t>
      </w:r>
    </w:p>
    <w:p>
      <w:pPr>
        <w:widowControl/>
        <w:spacing w:line="600" w:lineRule="exact"/>
        <w:ind w:firstLine="640" w:firstLineChars="200"/>
        <w:jc w:val="left"/>
        <w:rPr>
          <w:rFonts w:eastAsia="黑体"/>
          <w:sz w:val="32"/>
          <w:szCs w:val="32"/>
        </w:rPr>
      </w:pPr>
      <w:r>
        <w:rPr>
          <w:rFonts w:hint="eastAsia" w:eastAsia="黑体"/>
          <w:sz w:val="32"/>
          <w:szCs w:val="32"/>
          <w:lang w:val="en-US" w:eastAsia="zh-CN"/>
        </w:rPr>
        <w:t>四</w:t>
      </w:r>
      <w:r>
        <w:rPr>
          <w:rFonts w:eastAsia="黑体"/>
          <w:sz w:val="32"/>
          <w:szCs w:val="32"/>
        </w:rPr>
        <w:t>、存在的问题及原因分析</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1、由于政府采购时间周期较长，导致部份项目资金当年执行不到位。</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2、绩效评价的宣传力度不够，部分教工绩效意识有待进一步加强，“重预算，轻绩效”“重分配，轻监督”的现象还是不同程度地存在。</w:t>
      </w:r>
    </w:p>
    <w:p>
      <w:pPr>
        <w:widowControl/>
        <w:spacing w:line="600" w:lineRule="exact"/>
        <w:ind w:firstLine="640" w:firstLineChars="200"/>
        <w:jc w:val="left"/>
        <w:rPr>
          <w:rFonts w:eastAsia="黑体"/>
          <w:sz w:val="32"/>
          <w:szCs w:val="32"/>
        </w:rPr>
      </w:pPr>
      <w:r>
        <w:rPr>
          <w:rFonts w:hint="eastAsia" w:eastAsia="黑体"/>
          <w:sz w:val="32"/>
          <w:szCs w:val="32"/>
          <w:lang w:val="en-US" w:eastAsia="zh-CN"/>
        </w:rPr>
        <w:t>五</w:t>
      </w:r>
      <w:r>
        <w:rPr>
          <w:rFonts w:eastAsia="黑体"/>
          <w:sz w:val="32"/>
          <w:szCs w:val="32"/>
        </w:rPr>
        <w:t>、下一步改进措施</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1、建立健全财政整体支出绩效评价制度,建立面向绩效评价的预算管理体系，并贯穿于预算编制、执行和绩效评价的整个过程中。</w:t>
      </w:r>
    </w:p>
    <w:p>
      <w:pPr>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2、加强高校财政整体支出绩效评价的培训和学习，从日常支出管理上逐步达到高等教育财政支出讲绩效、要绩效、有绩效的目的。</w:t>
      </w:r>
    </w:p>
    <w:p>
      <w:pPr>
        <w:widowControl/>
        <w:spacing w:line="600" w:lineRule="exact"/>
        <w:ind w:firstLine="640" w:firstLineChars="200"/>
        <w:jc w:val="left"/>
        <w:rPr>
          <w:rFonts w:eastAsia="黑体"/>
          <w:sz w:val="32"/>
          <w:szCs w:val="32"/>
        </w:rPr>
      </w:pPr>
      <w:r>
        <w:rPr>
          <w:rFonts w:hint="eastAsia" w:eastAsia="黑体"/>
          <w:sz w:val="32"/>
          <w:szCs w:val="32"/>
          <w:lang w:val="en-US" w:eastAsia="zh-CN"/>
        </w:rPr>
        <w:t>六</w:t>
      </w:r>
      <w:r>
        <w:rPr>
          <w:rFonts w:eastAsia="黑体"/>
          <w:sz w:val="32"/>
          <w:szCs w:val="32"/>
        </w:rPr>
        <w:t>、单位整体支出绩效自评结果拟应用和公开情况</w:t>
      </w:r>
    </w:p>
    <w:p>
      <w:pPr>
        <w:pStyle w:val="2"/>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学校绩效自评结果将作为完善政策和改进管理的重要依据，同时，绩效自评结果与下年度部门预算、转移支付资金安排和立项等相结合，重点保障绩效好的项目，对绩效较低的项目要扣减相应预算或暂停拨付资金。学校绩效自评报告及时按要求通过信息公开栏目进行公开</w:t>
      </w:r>
    </w:p>
    <w:p>
      <w:pPr>
        <w:widowControl/>
        <w:numPr>
          <w:ilvl w:val="0"/>
          <w:numId w:val="3"/>
        </w:numPr>
        <w:spacing w:line="600" w:lineRule="exact"/>
        <w:ind w:firstLine="640" w:firstLineChars="200"/>
        <w:jc w:val="left"/>
        <w:rPr>
          <w:rFonts w:eastAsia="黑体"/>
          <w:sz w:val="32"/>
          <w:szCs w:val="32"/>
        </w:rPr>
      </w:pPr>
      <w:r>
        <w:rPr>
          <w:rFonts w:eastAsia="黑体"/>
          <w:sz w:val="32"/>
          <w:szCs w:val="32"/>
        </w:rPr>
        <w:t>其他需要说明的情况</w:t>
      </w:r>
    </w:p>
    <w:p>
      <w:pPr>
        <w:pStyle w:val="2"/>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无</w:t>
      </w: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hint="eastAsia" w:eastAsia="黑体"/>
          <w:sz w:val="32"/>
          <w:szCs w:val="32"/>
        </w:rPr>
      </w:pPr>
    </w:p>
    <w:p>
      <w:pPr>
        <w:spacing w:line="570" w:lineRule="exact"/>
        <w:ind w:right="565" w:rightChars="269"/>
        <w:contextualSpacing/>
        <w:jc w:val="left"/>
        <w:rPr>
          <w:rFonts w:eastAsia="黑体"/>
          <w:sz w:val="32"/>
          <w:szCs w:val="32"/>
        </w:rPr>
      </w:pPr>
      <w:r>
        <w:rPr>
          <w:rFonts w:hint="eastAsia" w:eastAsia="黑体"/>
          <w:sz w:val="32"/>
          <w:szCs w:val="32"/>
        </w:rPr>
        <w:t>附件</w:t>
      </w:r>
      <w:r>
        <w:rPr>
          <w:rFonts w:eastAsia="黑体"/>
          <w:sz w:val="32"/>
          <w:szCs w:val="32"/>
        </w:rPr>
        <w:t>1</w:t>
      </w:r>
    </w:p>
    <w:p>
      <w:pPr>
        <w:spacing w:after="156" w:afterLines="50" w:line="600" w:lineRule="exact"/>
        <w:jc w:val="both"/>
        <w:rPr>
          <w:rFonts w:eastAsia="仿宋_GB2312"/>
          <w:kern w:val="0"/>
          <w:sz w:val="24"/>
        </w:rPr>
      </w:pPr>
      <w:r>
        <w:rPr>
          <w:rFonts w:hint="eastAsia" w:ascii="方正小标宋简体" w:eastAsia="方正小标宋简体"/>
          <w:kern w:val="0"/>
          <w:sz w:val="44"/>
          <w:szCs w:val="44"/>
        </w:rPr>
        <w:t>202</w:t>
      </w:r>
      <w:r>
        <w:rPr>
          <w:rFonts w:hint="eastAsia" w:ascii="方正小标宋简体" w:eastAsia="方正小标宋简体"/>
          <w:kern w:val="0"/>
          <w:sz w:val="44"/>
          <w:szCs w:val="44"/>
          <w:lang w:val="en-US" w:eastAsia="zh-CN"/>
        </w:rPr>
        <w:t>1</w:t>
      </w:r>
      <w:r>
        <w:rPr>
          <w:rFonts w:hint="eastAsia" w:ascii="方正小标宋简体" w:eastAsia="方正小标宋简体"/>
          <w:kern w:val="0"/>
          <w:sz w:val="44"/>
          <w:szCs w:val="44"/>
        </w:rPr>
        <w:t>年度</w:t>
      </w:r>
      <w:r>
        <w:rPr>
          <w:rFonts w:hint="eastAsia" w:ascii="方正小标宋简体" w:eastAsia="方正小标宋简体"/>
          <w:kern w:val="0"/>
          <w:sz w:val="44"/>
          <w:szCs w:val="44"/>
          <w:lang w:val="en-US" w:eastAsia="zh-CN"/>
        </w:rPr>
        <w:t>整体</w:t>
      </w:r>
      <w:r>
        <w:rPr>
          <w:rFonts w:hint="eastAsia" w:ascii="方正小标宋简体" w:eastAsia="方正小标宋简体"/>
          <w:kern w:val="0"/>
          <w:sz w:val="44"/>
          <w:szCs w:val="44"/>
        </w:rPr>
        <w:t>支出绩效</w:t>
      </w:r>
      <w:r>
        <w:rPr>
          <w:rFonts w:hint="eastAsia" w:ascii="方正小标宋简体" w:eastAsia="方正小标宋简体"/>
          <w:kern w:val="0"/>
          <w:sz w:val="44"/>
          <w:szCs w:val="44"/>
          <w:lang w:val="en-US" w:eastAsia="zh-CN"/>
        </w:rPr>
        <w:t>评价</w:t>
      </w:r>
      <w:r>
        <w:rPr>
          <w:rFonts w:hint="eastAsia" w:ascii="方正小标宋简体" w:eastAsia="方正小标宋简体"/>
          <w:kern w:val="0"/>
          <w:sz w:val="44"/>
          <w:szCs w:val="44"/>
        </w:rPr>
        <w:t>基础数据表</w:t>
      </w:r>
    </w:p>
    <w:tbl>
      <w:tblPr>
        <w:tblStyle w:val="9"/>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4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default" w:ascii="宋体" w:hAnsi="宋体" w:eastAsia="宋体"/>
                <w:kern w:val="0"/>
                <w:szCs w:val="21"/>
              </w:rPr>
              <w:t>202</w:t>
            </w:r>
            <w:r>
              <w:rPr>
                <w:rFonts w:hint="eastAsia" w:ascii="宋体" w:hAnsi="宋体"/>
                <w:kern w:val="0"/>
                <w:szCs w:val="21"/>
                <w:lang w:val="en-US" w:eastAsia="zh-CN"/>
              </w:rPr>
              <w:t>1</w:t>
            </w:r>
            <w:r>
              <w:rPr>
                <w:rFonts w:hint="eastAsia" w:ascii="宋体" w:hAnsi="宋体" w:eastAsia="宋体"/>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控制率</w:t>
            </w:r>
          </w:p>
        </w:tc>
      </w:tr>
      <w:tr>
        <w:tblPrEx>
          <w:tblCellMar>
            <w:top w:w="0" w:type="dxa"/>
            <w:left w:w="108" w:type="dxa"/>
            <w:bottom w:w="0" w:type="dxa"/>
            <w:right w:w="108" w:type="dxa"/>
          </w:tblCellMar>
        </w:tblPrEx>
        <w:trPr>
          <w:trHeight w:val="34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1910</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lang w:val="en-US" w:eastAsia="zh-CN"/>
              </w:rPr>
            </w:pPr>
            <w:r>
              <w:rPr>
                <w:rFonts w:hint="eastAsia" w:ascii="宋体" w:hAnsi="宋体"/>
                <w:kern w:val="0"/>
                <w:szCs w:val="21"/>
                <w:lang w:val="en-US" w:eastAsia="zh-CN"/>
              </w:rPr>
              <w:t>1498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lang w:val="en-US" w:eastAsia="zh-CN"/>
              </w:rPr>
            </w:pPr>
            <w:r>
              <w:rPr>
                <w:rFonts w:hint="eastAsia" w:ascii="宋体" w:hAnsi="宋体"/>
                <w:kern w:val="0"/>
                <w:szCs w:val="21"/>
                <w:lang w:val="en-US" w:eastAsia="zh-CN"/>
              </w:rPr>
              <w:t>78.43%</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default" w:ascii="宋体" w:hAnsi="宋体" w:eastAsia="宋体"/>
                <w:kern w:val="0"/>
                <w:szCs w:val="21"/>
              </w:rPr>
              <w:t>20</w:t>
            </w:r>
            <w:r>
              <w:rPr>
                <w:rFonts w:hint="eastAsia" w:ascii="宋体" w:hAnsi="宋体"/>
                <w:kern w:val="0"/>
                <w:szCs w:val="21"/>
                <w:lang w:val="en-US" w:eastAsia="zh-CN"/>
              </w:rPr>
              <w:t>20</w:t>
            </w:r>
            <w:r>
              <w:rPr>
                <w:rFonts w:hint="eastAsia" w:ascii="宋体" w:hAnsi="宋体" w:eastAsia="宋体"/>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default" w:ascii="宋体" w:hAnsi="宋体" w:eastAsia="宋体"/>
                <w:kern w:val="0"/>
                <w:szCs w:val="21"/>
              </w:rPr>
              <w:t>202</w:t>
            </w:r>
            <w:r>
              <w:rPr>
                <w:rFonts w:hint="eastAsia" w:ascii="宋体" w:hAnsi="宋体"/>
                <w:kern w:val="0"/>
                <w:szCs w:val="21"/>
                <w:lang w:val="en-US" w:eastAsia="zh-CN"/>
              </w:rPr>
              <w:t>1</w:t>
            </w:r>
            <w:r>
              <w:rPr>
                <w:rFonts w:hint="eastAsia" w:ascii="宋体" w:hAnsi="宋体" w:eastAsia="宋体"/>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default" w:ascii="宋体" w:hAnsi="宋体" w:eastAsia="宋体"/>
                <w:kern w:val="0"/>
                <w:szCs w:val="21"/>
              </w:rPr>
              <w:t>202</w:t>
            </w:r>
            <w:r>
              <w:rPr>
                <w:rFonts w:hint="eastAsia" w:ascii="宋体" w:hAnsi="宋体"/>
                <w:kern w:val="0"/>
                <w:szCs w:val="21"/>
                <w:lang w:val="en-US" w:eastAsia="zh-CN"/>
              </w:rPr>
              <w:t>1</w:t>
            </w:r>
            <w:r>
              <w:rPr>
                <w:rFonts w:hint="eastAsia" w:ascii="宋体" w:hAnsi="宋体" w:eastAsia="宋体"/>
                <w:kern w:val="0"/>
                <w:szCs w:val="21"/>
              </w:rPr>
              <w:t>年决算数</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　</w:t>
            </w:r>
            <w:r>
              <w:rPr>
                <w:rFonts w:hint="eastAsia" w:ascii="宋体" w:hAnsi="宋体" w:eastAsia="宋体"/>
                <w:kern w:val="0"/>
                <w:szCs w:val="21"/>
                <w:lang w:val="en-US" w:eastAsia="zh-CN"/>
              </w:rPr>
              <w:t>38.1</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color w:val="auto"/>
                <w:kern w:val="0"/>
                <w:szCs w:val="21"/>
                <w:lang w:val="en-US" w:eastAsia="zh-CN"/>
              </w:rPr>
              <w:t>125.00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111.99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1</w:t>
            </w:r>
            <w:r>
              <w:rPr>
                <w:rFonts w:hint="eastAsia" w:ascii="宋体" w:hAnsi="宋体" w:eastAsia="宋体"/>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11.09</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69.00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76.02</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w:t>
            </w:r>
            <w:r>
              <w:rPr>
                <w:rFonts w:hint="eastAsia" w:ascii="宋体" w:hAnsi="宋体" w:eastAsia="宋体"/>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45.00</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35.96</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w:t>
            </w:r>
            <w:r>
              <w:rPr>
                <w:rFonts w:hint="eastAsia" w:ascii="宋体" w:hAnsi="宋体" w:eastAsia="宋体"/>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　</w:t>
            </w:r>
            <w:r>
              <w:rPr>
                <w:rFonts w:hint="eastAsia" w:ascii="宋体" w:hAnsi="宋体" w:eastAsia="宋体"/>
                <w:kern w:val="0"/>
                <w:szCs w:val="21"/>
                <w:lang w:val="en-US" w:eastAsia="zh-CN"/>
              </w:rPr>
              <w:t>11.09</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24.00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40.06</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2</w:t>
            </w:r>
            <w:r>
              <w:rPr>
                <w:rFonts w:hint="eastAsia" w:ascii="宋体" w:hAnsi="宋体" w:eastAsia="宋体"/>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0</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1050" w:firstLineChars="500"/>
              <w:jc w:val="both"/>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3</w:t>
            </w:r>
            <w:r>
              <w:rPr>
                <w:rFonts w:hint="eastAsia" w:ascii="宋体" w:hAnsi="宋体" w:eastAsia="宋体"/>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27.01</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56.00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rPr>
              <w:t>　</w:t>
            </w:r>
            <w:r>
              <w:rPr>
                <w:rFonts w:hint="eastAsia" w:ascii="宋体" w:hAnsi="宋体" w:eastAsia="宋体"/>
                <w:kern w:val="0"/>
                <w:szCs w:val="21"/>
                <w:lang w:val="en-US" w:eastAsia="zh-CN"/>
              </w:rPr>
              <w:t xml:space="preserve">   35.97</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24838.61</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36041.60</w:t>
            </w: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49869.55</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1</w:t>
            </w:r>
            <w:r>
              <w:rPr>
                <w:rFonts w:hint="eastAsia" w:ascii="宋体" w:hAnsi="宋体" w:eastAsia="宋体"/>
                <w:kern w:val="0"/>
                <w:szCs w:val="21"/>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15670.29</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26142.60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37742.96</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2</w:t>
            </w:r>
            <w:r>
              <w:rPr>
                <w:rFonts w:hint="eastAsia" w:ascii="宋体" w:hAnsi="宋体" w:eastAsia="宋体"/>
                <w:kern w:val="0"/>
                <w:szCs w:val="21"/>
              </w:rPr>
              <w:t>、运行维护经费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7271.42</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7533.00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9760.59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kern w:val="0"/>
                <w:szCs w:val="21"/>
              </w:rPr>
            </w:pPr>
            <w:r>
              <w:rPr>
                <w:rFonts w:hint="default" w:ascii="宋体" w:hAnsi="宋体" w:eastAsia="宋体"/>
                <w:kern w:val="0"/>
                <w:szCs w:val="21"/>
              </w:rPr>
              <w:t>3</w:t>
            </w:r>
            <w:r>
              <w:rPr>
                <w:rFonts w:hint="eastAsia" w:ascii="宋体" w:hAnsi="宋体" w:eastAsia="宋体"/>
                <w:kern w:val="0"/>
                <w:szCs w:val="21"/>
              </w:rPr>
              <w:t>、</w:t>
            </w:r>
            <w:r>
              <w:rPr>
                <w:rFonts w:hint="eastAsia" w:ascii="宋体" w:hAnsi="宋体" w:eastAsia="宋体"/>
                <w:kern w:val="0"/>
                <w:szCs w:val="21"/>
                <w:lang w:eastAsia="zh-CN"/>
              </w:rPr>
              <w:t>省级双一流专项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1140.9</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1139.00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1139.00</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kern w:val="0"/>
                <w:szCs w:val="21"/>
              </w:rPr>
            </w:pPr>
            <w:r>
              <w:rPr>
                <w:rFonts w:hint="eastAsia" w:ascii="宋体" w:hAnsi="宋体" w:eastAsia="宋体"/>
                <w:kern w:val="0"/>
                <w:szCs w:val="21"/>
                <w:lang w:val="en-US" w:eastAsia="zh-CN"/>
              </w:rPr>
              <w:t>4、农村教师公费定向培养</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756</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1227.00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1227.00</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11364.58</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6003.64</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kern w:val="0"/>
                <w:sz w:val="21"/>
                <w:szCs w:val="21"/>
                <w:lang w:val="en-US" w:eastAsia="zh-CN" w:bidi="ar-SA"/>
              </w:rPr>
            </w:pPr>
            <w:r>
              <w:rPr>
                <w:rFonts w:hint="eastAsia" w:ascii="宋体" w:hAnsi="宋体" w:eastAsia="宋体"/>
                <w:kern w:val="0"/>
                <w:szCs w:val="21"/>
                <w:lang w:val="en-US" w:eastAsia="zh-CN"/>
              </w:rPr>
              <w:t>10041.17</w:t>
            </w:r>
            <w:r>
              <w:rPr>
                <w:rFonts w:hint="eastAsia" w:ascii="宋体" w:hAnsi="宋体" w:eastAsia="宋体"/>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w:t>
            </w:r>
            <w:r>
              <w:rPr>
                <w:rFonts w:hint="eastAsia" w:ascii="宋体" w:hAnsi="宋体" w:eastAsia="宋体"/>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olor w:val="auto"/>
                <w:kern w:val="0"/>
                <w:szCs w:val="21"/>
              </w:rPr>
            </w:pPr>
            <w:r>
              <w:rPr>
                <w:rFonts w:hint="eastAsia" w:ascii="宋体" w:hAnsi="宋体" w:eastAsia="宋体"/>
                <w:color w:val="auto"/>
                <w:kern w:val="0"/>
                <w:szCs w:val="21"/>
                <w:lang w:val="en-US" w:eastAsia="zh-CN"/>
              </w:rPr>
              <w:t>429.48</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630" w:firstLineChars="300"/>
              <w:jc w:val="both"/>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100.00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455.62</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w:t>
            </w:r>
            <w:r>
              <w:rPr>
                <w:rFonts w:hint="eastAsia" w:ascii="宋体" w:hAnsi="宋体" w:eastAsia="宋体"/>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olor w:val="auto"/>
                <w:kern w:val="0"/>
                <w:szCs w:val="21"/>
              </w:rPr>
            </w:pPr>
            <w:r>
              <w:rPr>
                <w:rFonts w:hint="eastAsia" w:ascii="宋体" w:hAnsi="宋体" w:eastAsia="宋体"/>
                <w:color w:val="auto"/>
                <w:kern w:val="0"/>
                <w:szCs w:val="21"/>
                <w:lang w:val="en-US" w:eastAsia="zh-CN"/>
              </w:rPr>
              <w:t>1658.87</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1958.00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2008.14</w:t>
            </w:r>
            <w:r>
              <w:rPr>
                <w:rFonts w:hint="eastAsia" w:ascii="宋体" w:hAnsi="宋体" w:eastAsia="宋体"/>
                <w:color w:val="auto"/>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default" w:ascii="宋体" w:hAnsi="宋体" w:eastAsia="宋体"/>
                <w:kern w:val="0"/>
                <w:szCs w:val="21"/>
              </w:rPr>
              <w:t xml:space="preserve">          </w:t>
            </w:r>
            <w:r>
              <w:rPr>
                <w:rFonts w:hint="eastAsia" w:ascii="宋体" w:hAnsi="宋体" w:eastAsia="宋体"/>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olor w:val="auto"/>
                <w:kern w:val="0"/>
                <w:szCs w:val="21"/>
              </w:rPr>
            </w:pPr>
            <w:r>
              <w:rPr>
                <w:rFonts w:hint="eastAsia" w:ascii="宋体" w:hAnsi="宋体" w:eastAsia="宋体"/>
                <w:color w:val="auto"/>
                <w:kern w:val="0"/>
                <w:szCs w:val="21"/>
                <w:lang w:val="en-US" w:eastAsia="zh-CN"/>
              </w:rPr>
              <w:t>0</w:t>
            </w:r>
            <w:r>
              <w:rPr>
                <w:rFonts w:hint="eastAsia" w:ascii="宋体" w:hAnsi="宋体" w:eastAsia="宋体"/>
                <w:color w:val="auto"/>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80.00</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olor w:val="auto"/>
                <w:kern w:val="0"/>
                <w:szCs w:val="21"/>
                <w:lang w:val="en-US" w:eastAsia="zh-CN"/>
              </w:rPr>
              <w:t>46.59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val="en-US" w:eastAsia="zh-CN"/>
              </w:rPr>
              <w:t>6700</w:t>
            </w:r>
            <w:r>
              <w:rPr>
                <w:rFonts w:hint="eastAsia" w:ascii="宋体" w:hAnsi="宋体" w:eastAsia="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3525</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4011</w:t>
            </w:r>
          </w:p>
        </w:tc>
      </w:tr>
      <w:tr>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部门基本支出预算调整</w:t>
            </w:r>
            <w:r>
              <w:rPr>
                <w:rFonts w:hint="default" w:ascii="宋体" w:hAnsi="宋体" w:eastAsia="宋体"/>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default" w:ascii="宋体" w:hAnsi="宋体" w:eastAsia="宋体"/>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楼堂馆所控制情况</w:t>
            </w:r>
            <w:r>
              <w:rPr>
                <w:rFonts w:hint="default" w:ascii="宋体" w:hAnsi="宋体" w:eastAsia="宋体"/>
                <w:kern w:val="0"/>
                <w:szCs w:val="21"/>
              </w:rPr>
              <w:br w:type="textWrapping"/>
            </w:r>
            <w:r>
              <w:rPr>
                <w:rFonts w:hint="eastAsia" w:ascii="宋体" w:hAnsi="宋体" w:eastAsia="宋体"/>
                <w:kern w:val="0"/>
                <w:szCs w:val="21"/>
              </w:rPr>
              <w:t>（</w:t>
            </w:r>
            <w:r>
              <w:rPr>
                <w:rFonts w:hint="default" w:ascii="宋体" w:hAnsi="宋体" w:eastAsia="宋体"/>
                <w:kern w:val="0"/>
                <w:szCs w:val="21"/>
              </w:rPr>
              <w:t>202</w:t>
            </w:r>
            <w:r>
              <w:rPr>
                <w:rFonts w:hint="eastAsia" w:ascii="宋体" w:hAnsi="宋体" w:eastAsia="宋体"/>
                <w:kern w:val="0"/>
                <w:szCs w:val="21"/>
                <w:lang w:val="en-US" w:eastAsia="zh-CN"/>
              </w:rPr>
              <w:t>1</w:t>
            </w:r>
            <w:r>
              <w:rPr>
                <w:rFonts w:hint="eastAsia" w:ascii="宋体" w:hAnsi="宋体" w:eastAsia="宋体"/>
                <w:kern w:val="0"/>
                <w:szCs w:val="21"/>
              </w:rPr>
              <w:t>年完工项目）</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批复规模</w:t>
            </w:r>
            <w:r>
              <w:rPr>
                <w:rFonts w:hint="default" w:ascii="宋体" w:hAnsi="宋体" w:eastAsia="宋体"/>
                <w:bCs/>
                <w:kern w:val="0"/>
                <w:szCs w:val="21"/>
              </w:rPr>
              <w:br w:type="textWrapping"/>
            </w:r>
            <w:r>
              <w:rPr>
                <w:rFonts w:hint="eastAsia" w:ascii="宋体" w:hAnsi="宋体" w:eastAsia="宋体"/>
                <w:bCs/>
                <w:kern w:val="0"/>
                <w:szCs w:val="21"/>
              </w:rPr>
              <w:t>（㎡）</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实际规模（㎡）</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规模控制率</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bCs/>
                <w:kern w:val="0"/>
                <w:szCs w:val="21"/>
              </w:rPr>
            </w:pPr>
            <w:r>
              <w:rPr>
                <w:rFonts w:hint="eastAsia" w:ascii="宋体" w:hAnsi="宋体" w:eastAsia="宋体"/>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　</w:t>
            </w:r>
          </w:p>
        </w:tc>
        <w:tc>
          <w:tcPr>
            <w:tcW w:w="84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　</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　</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　</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　</w:t>
            </w:r>
          </w:p>
        </w:tc>
        <w:tc>
          <w:tcPr>
            <w:tcW w:w="86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kern w:val="0"/>
                <w:szCs w:val="21"/>
              </w:rPr>
            </w:pPr>
            <w:r>
              <w:rPr>
                <w:rFonts w:hint="eastAsia" w:ascii="宋体" w:hAnsi="宋体" w:eastAsia="宋体"/>
                <w:kern w:val="0"/>
                <w:szCs w:val="21"/>
              </w:rPr>
              <w:t>　</w:t>
            </w:r>
          </w:p>
        </w:tc>
      </w:tr>
      <w:tr>
        <w:trPr>
          <w:trHeight w:val="461"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kern w:val="0"/>
                <w:szCs w:val="21"/>
              </w:rPr>
            </w:pPr>
            <w:r>
              <w:rPr>
                <w:rFonts w:hint="eastAsia" w:ascii="宋体" w:hAnsi="宋体" w:eastAsia="宋体"/>
                <w:kern w:val="0"/>
                <w:szCs w:val="21"/>
                <w:lang w:eastAsia="zh-CN"/>
              </w:rPr>
              <w:t>进一步压减一般性支出，三公经费逐年下降</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kern w:val="0"/>
          <w:sz w:val="18"/>
          <w:szCs w:val="20"/>
        </w:rPr>
      </w:pPr>
      <w:r>
        <w:rPr>
          <w:rFonts w:hint="eastAsia" w:ascii="宋体" w:hAnsi="宋体" w:eastAsia="宋体"/>
          <w:kern w:val="0"/>
          <w:sz w:val="18"/>
          <w:szCs w:val="20"/>
        </w:rPr>
        <w:t>说明：</w:t>
      </w:r>
      <w:r>
        <w:rPr>
          <w:rFonts w:ascii="宋体" w:hAnsi="宋体" w:eastAsia="宋体"/>
          <w:kern w:val="0"/>
          <w:sz w:val="18"/>
          <w:szCs w:val="20"/>
        </w:rPr>
        <w:t>“</w:t>
      </w:r>
      <w:r>
        <w:rPr>
          <w:rFonts w:hint="eastAsia" w:ascii="宋体" w:hAnsi="宋体" w:eastAsia="宋体"/>
          <w:kern w:val="0"/>
          <w:sz w:val="18"/>
          <w:szCs w:val="20"/>
        </w:rPr>
        <w:t>项目支出</w:t>
      </w:r>
      <w:r>
        <w:rPr>
          <w:rFonts w:ascii="宋体" w:hAnsi="宋体" w:eastAsia="宋体"/>
          <w:kern w:val="0"/>
          <w:sz w:val="18"/>
          <w:szCs w:val="20"/>
        </w:rPr>
        <w:t>”</w:t>
      </w:r>
      <w:r>
        <w:rPr>
          <w:rFonts w:hint="eastAsia" w:ascii="宋体" w:hAnsi="宋体" w:eastAsia="宋体"/>
          <w:kern w:val="0"/>
          <w:sz w:val="18"/>
          <w:szCs w:val="20"/>
        </w:rPr>
        <w:t>需要填报基本支出以外的所有项目支出情况，</w:t>
      </w:r>
      <w:r>
        <w:rPr>
          <w:rFonts w:ascii="宋体" w:hAnsi="宋体" w:eastAsia="宋体"/>
          <w:kern w:val="0"/>
          <w:sz w:val="18"/>
          <w:szCs w:val="20"/>
        </w:rPr>
        <w:t>“</w:t>
      </w:r>
      <w:r>
        <w:rPr>
          <w:rFonts w:hint="eastAsia" w:ascii="宋体" w:hAnsi="宋体" w:eastAsia="宋体"/>
          <w:kern w:val="0"/>
          <w:sz w:val="18"/>
          <w:szCs w:val="20"/>
        </w:rPr>
        <w:t>公用经费</w:t>
      </w:r>
      <w:r>
        <w:rPr>
          <w:rFonts w:ascii="宋体" w:hAnsi="宋体" w:eastAsia="宋体"/>
          <w:kern w:val="0"/>
          <w:sz w:val="18"/>
          <w:szCs w:val="20"/>
        </w:rPr>
        <w:t>”</w:t>
      </w:r>
      <w:r>
        <w:rPr>
          <w:rFonts w:hint="eastAsia" w:ascii="宋体" w:hAnsi="宋体" w:eastAsia="宋体"/>
          <w:kern w:val="0"/>
          <w:sz w:val="18"/>
          <w:szCs w:val="20"/>
        </w:rPr>
        <w:t>填报基本支出中的一般商品和服务支出。</w:t>
      </w:r>
    </w:p>
    <w:p>
      <w:pPr>
        <w:pStyle w:val="2"/>
        <w:rPr>
          <w:rFonts w:hint="eastAsia" w:ascii="宋体" w:hAnsi="宋体" w:eastAsia="宋体"/>
          <w:kern w:val="0"/>
          <w:sz w:val="18"/>
          <w:szCs w:val="20"/>
        </w:rPr>
      </w:pPr>
    </w:p>
    <w:p>
      <w:pPr>
        <w:widowControl/>
        <w:jc w:val="left"/>
        <w:rPr>
          <w:rFonts w:hint="default" w:ascii="宋体" w:hAnsi="宋体" w:eastAsia="宋体" w:cs="Times New Roman"/>
          <w:kern w:val="0"/>
          <w:sz w:val="22"/>
          <w:szCs w:val="20"/>
          <w:lang w:val="en-US" w:eastAsia="zh-CN"/>
        </w:rPr>
      </w:pPr>
      <w:r>
        <w:rPr>
          <w:rFonts w:hint="eastAsia" w:ascii="宋体" w:hAnsi="宋体" w:eastAsia="宋体" w:cs="Times New Roman"/>
          <w:kern w:val="0"/>
          <w:sz w:val="22"/>
          <w:szCs w:val="20"/>
          <w:lang w:val="en-US" w:eastAsia="zh-CN"/>
        </w:rPr>
        <w:t>填表人：李朔一  填报日期：2022-5-2  联系电话：13450163905   单位负责人签字：张平</w:t>
      </w:r>
    </w:p>
    <w:p>
      <w:pPr>
        <w:widowControl/>
        <w:jc w:val="left"/>
        <w:rPr>
          <w:rFonts w:hint="eastAsia" w:eastAsia="黑体"/>
          <w:sz w:val="32"/>
          <w:szCs w:val="32"/>
        </w:rPr>
      </w:pPr>
      <w:r>
        <w:rPr>
          <w:rFonts w:eastAsia="黑体"/>
          <w:sz w:val="32"/>
          <w:szCs w:val="32"/>
        </w:rPr>
        <w:t>附件</w:t>
      </w:r>
      <w:r>
        <w:rPr>
          <w:rFonts w:hint="eastAsia" w:eastAsia="黑体"/>
          <w:sz w:val="32"/>
          <w:szCs w:val="32"/>
        </w:rPr>
        <w:t>2</w:t>
      </w:r>
    </w:p>
    <w:p>
      <w:pPr>
        <w:spacing w:line="400" w:lineRule="exact"/>
        <w:jc w:val="center"/>
        <w:rPr>
          <w:rFonts w:eastAsia="方正小标宋_GBK"/>
          <w:color w:val="000000"/>
          <w:kern w:val="0"/>
          <w:sz w:val="44"/>
          <w:szCs w:val="44"/>
        </w:rPr>
      </w:pPr>
    </w:p>
    <w:p>
      <w:pPr>
        <w:spacing w:after="156" w:afterLines="50" w:line="600" w:lineRule="exact"/>
        <w:ind w:firstLine="880" w:firstLineChars="200"/>
        <w:jc w:val="both"/>
        <w:rPr>
          <w:rFonts w:hint="eastAsia" w:eastAsia="方正小标宋简体"/>
          <w:b/>
          <w:color w:val="000000"/>
          <w:kern w:val="0"/>
          <w:sz w:val="32"/>
          <w:szCs w:val="32"/>
          <w:lang w:eastAsia="zh-CN"/>
        </w:rPr>
      </w:pPr>
      <w:r>
        <w:rPr>
          <w:rFonts w:hint="eastAsia" w:ascii="方正小标宋简体" w:eastAsia="方正小标宋简体"/>
          <w:kern w:val="0"/>
          <w:sz w:val="44"/>
          <w:szCs w:val="44"/>
        </w:rPr>
        <w:t>20</w:t>
      </w:r>
      <w:r>
        <w:rPr>
          <w:rFonts w:hint="eastAsia" w:ascii="方正小标宋简体" w:eastAsia="方正小标宋简体"/>
          <w:kern w:val="0"/>
          <w:sz w:val="44"/>
          <w:szCs w:val="44"/>
          <w:lang w:val="en-US" w:eastAsia="zh-CN"/>
        </w:rPr>
        <w:t>21</w:t>
      </w:r>
      <w:r>
        <w:rPr>
          <w:rFonts w:hint="eastAsia" w:ascii="方正小标宋简体" w:eastAsia="方正小标宋简体"/>
          <w:kern w:val="0"/>
          <w:sz w:val="44"/>
          <w:szCs w:val="44"/>
        </w:rPr>
        <w:t>年</w:t>
      </w:r>
      <w:r>
        <w:rPr>
          <w:rFonts w:hint="eastAsia" w:ascii="方正小标宋简体" w:eastAsia="方正小标宋简体"/>
          <w:kern w:val="0"/>
          <w:sz w:val="44"/>
          <w:szCs w:val="44"/>
          <w:lang w:val="en-US" w:eastAsia="zh-CN"/>
        </w:rPr>
        <w:t>整体</w:t>
      </w:r>
      <w:r>
        <w:rPr>
          <w:rFonts w:hint="eastAsia" w:ascii="方正小标宋简体" w:eastAsia="方正小标宋简体"/>
          <w:kern w:val="0"/>
          <w:sz w:val="44"/>
          <w:szCs w:val="44"/>
          <w:lang w:eastAsia="zh-CN"/>
        </w:rPr>
        <w:t>支出</w:t>
      </w:r>
      <w:r>
        <w:rPr>
          <w:rFonts w:hint="eastAsia" w:ascii="方正小标宋简体" w:eastAsia="方正小标宋简体"/>
          <w:kern w:val="0"/>
          <w:sz w:val="44"/>
          <w:szCs w:val="44"/>
        </w:rPr>
        <w:t>绩效</w:t>
      </w:r>
      <w:r>
        <w:rPr>
          <w:rFonts w:hint="eastAsia" w:ascii="方正小标宋简体" w:eastAsia="方正小标宋简体"/>
          <w:kern w:val="0"/>
          <w:sz w:val="44"/>
          <w:szCs w:val="44"/>
          <w:lang w:val="en-US" w:eastAsia="zh-CN"/>
        </w:rPr>
        <w:t>自评</w:t>
      </w:r>
      <w:r>
        <w:rPr>
          <w:rFonts w:hint="eastAsia" w:ascii="方正小标宋简体" w:eastAsia="方正小标宋简体"/>
          <w:kern w:val="0"/>
          <w:sz w:val="44"/>
          <w:szCs w:val="44"/>
          <w:lang w:eastAsia="zh-CN"/>
        </w:rPr>
        <w:t>表</w:t>
      </w:r>
    </w:p>
    <w:p>
      <w:pPr>
        <w:spacing w:line="300" w:lineRule="exact"/>
        <w:rPr>
          <w:rFonts w:eastAsia="方正小标宋_GBK"/>
          <w:color w:val="000000"/>
          <w:kern w:val="0"/>
          <w:sz w:val="36"/>
          <w:szCs w:val="36"/>
        </w:rPr>
      </w:pPr>
    </w:p>
    <w:tbl>
      <w:tblPr>
        <w:tblStyle w:val="9"/>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77"/>
        <w:gridCol w:w="861"/>
        <w:gridCol w:w="1782"/>
        <w:gridCol w:w="972"/>
        <w:gridCol w:w="1044"/>
        <w:gridCol w:w="936"/>
        <w:gridCol w:w="126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省级预算部门名称</w:t>
            </w:r>
          </w:p>
        </w:tc>
        <w:tc>
          <w:tcPr>
            <w:tcW w:w="8945" w:type="dxa"/>
            <w:gridSpan w:val="8"/>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color w:val="000000"/>
                <w:kern w:val="0"/>
                <w:sz w:val="19"/>
                <w:szCs w:val="21"/>
              </w:rPr>
            </w:pPr>
            <w:r>
              <w:rPr>
                <w:rFonts w:hint="eastAsia"/>
                <w:color w:val="000000"/>
                <w:kern w:val="0"/>
                <w:sz w:val="19"/>
                <w:szCs w:val="21"/>
              </w:rPr>
              <w:t>邵阳学院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年度</w:t>
            </w:r>
          </w:p>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预算</w:t>
            </w:r>
          </w:p>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申请</w:t>
            </w:r>
          </w:p>
          <w:p>
            <w:pPr>
              <w:keepNext w:val="0"/>
              <w:keepLines w:val="0"/>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（万元）</w:t>
            </w:r>
          </w:p>
        </w:tc>
        <w:tc>
          <w:tcPr>
            <w:tcW w:w="1538" w:type="dxa"/>
            <w:gridSpan w:val="2"/>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p>
        </w:tc>
        <w:tc>
          <w:tcPr>
            <w:tcW w:w="1782"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年  初</w:t>
            </w:r>
          </w:p>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预算数</w:t>
            </w:r>
          </w:p>
        </w:tc>
        <w:tc>
          <w:tcPr>
            <w:tcW w:w="972"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全  年</w:t>
            </w:r>
          </w:p>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预算数</w:t>
            </w:r>
          </w:p>
        </w:tc>
        <w:tc>
          <w:tcPr>
            <w:tcW w:w="1044"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全  年</w:t>
            </w:r>
          </w:p>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执行数</w:t>
            </w:r>
          </w:p>
        </w:tc>
        <w:tc>
          <w:tcPr>
            <w:tcW w:w="936"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分值</w:t>
            </w:r>
          </w:p>
        </w:tc>
        <w:tc>
          <w:tcPr>
            <w:tcW w:w="1260"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执行率</w:t>
            </w:r>
          </w:p>
        </w:tc>
        <w:tc>
          <w:tcPr>
            <w:tcW w:w="1413"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sz w:val="19"/>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1538" w:type="dxa"/>
            <w:gridSpan w:val="2"/>
            <w:noWrap w:val="0"/>
            <w:vAlign w:val="center"/>
          </w:tcPr>
          <w:p>
            <w:pPr>
              <w:keepNext w:val="0"/>
              <w:keepLines w:val="0"/>
              <w:suppressLineNumbers w:val="0"/>
              <w:snapToGrid w:val="0"/>
              <w:spacing w:before="0" w:beforeAutospacing="0" w:after="0" w:afterAutospacing="0" w:line="230" w:lineRule="exact"/>
              <w:ind w:left="0" w:right="0"/>
              <w:jc w:val="center"/>
              <w:rPr>
                <w:rFonts w:hint="default"/>
                <w:color w:val="000000"/>
                <w:sz w:val="19"/>
                <w:szCs w:val="21"/>
              </w:rPr>
            </w:pPr>
            <w:r>
              <w:rPr>
                <w:rFonts w:hint="default"/>
                <w:color w:val="000000"/>
                <w:kern w:val="0"/>
                <w:sz w:val="19"/>
                <w:szCs w:val="21"/>
              </w:rPr>
              <w:t>年度资金总额</w:t>
            </w:r>
          </w:p>
        </w:tc>
        <w:tc>
          <w:tcPr>
            <w:tcW w:w="1782"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eastAsia="宋体"/>
                <w:color w:val="000000"/>
                <w:sz w:val="19"/>
                <w:szCs w:val="21"/>
                <w:lang w:val="en-US" w:eastAsia="zh-CN"/>
              </w:rPr>
            </w:pPr>
            <w:r>
              <w:rPr>
                <w:rFonts w:hint="eastAsia" w:eastAsia="宋体"/>
                <w:color w:val="000000"/>
                <w:sz w:val="19"/>
                <w:szCs w:val="21"/>
                <w:lang w:val="en-US" w:eastAsia="zh-CN"/>
              </w:rPr>
              <w:t>70454.86</w:t>
            </w:r>
          </w:p>
        </w:tc>
        <w:tc>
          <w:tcPr>
            <w:tcW w:w="972"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eastAsia="宋体"/>
                <w:color w:val="000000"/>
                <w:sz w:val="19"/>
                <w:szCs w:val="21"/>
                <w:lang w:val="en-US" w:eastAsia="zh-CN"/>
              </w:rPr>
            </w:pPr>
            <w:r>
              <w:rPr>
                <w:rFonts w:hint="eastAsia" w:eastAsia="宋体"/>
                <w:color w:val="000000"/>
                <w:sz w:val="19"/>
                <w:szCs w:val="21"/>
                <w:lang w:val="en-US" w:eastAsia="zh-CN"/>
              </w:rPr>
              <w:t>89777.30</w:t>
            </w:r>
          </w:p>
        </w:tc>
        <w:tc>
          <w:tcPr>
            <w:tcW w:w="1044"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eastAsia="宋体"/>
                <w:color w:val="000000"/>
                <w:sz w:val="19"/>
                <w:szCs w:val="21"/>
                <w:lang w:val="en-US" w:eastAsia="zh-CN"/>
              </w:rPr>
            </w:pPr>
            <w:r>
              <w:rPr>
                <w:rFonts w:hint="eastAsia" w:eastAsia="宋体"/>
                <w:color w:val="000000"/>
                <w:sz w:val="19"/>
                <w:szCs w:val="21"/>
                <w:lang w:val="en-US" w:eastAsia="zh-CN"/>
              </w:rPr>
              <w:t>89521.76</w:t>
            </w:r>
          </w:p>
        </w:tc>
        <w:tc>
          <w:tcPr>
            <w:tcW w:w="936"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eastAsia="宋体"/>
                <w:color w:val="000000"/>
                <w:sz w:val="19"/>
                <w:szCs w:val="21"/>
                <w:lang w:val="en-US" w:eastAsia="zh-CN"/>
              </w:rPr>
            </w:pPr>
            <w:r>
              <w:rPr>
                <w:rFonts w:hint="eastAsia"/>
                <w:color w:val="000000"/>
                <w:sz w:val="19"/>
                <w:szCs w:val="21"/>
                <w:lang w:val="en-US" w:eastAsia="zh-CN"/>
              </w:rPr>
              <w:t>10</w:t>
            </w:r>
          </w:p>
        </w:tc>
        <w:tc>
          <w:tcPr>
            <w:tcW w:w="1260" w:type="dxa"/>
            <w:noWrap w:val="0"/>
            <w:vAlign w:val="center"/>
          </w:tcPr>
          <w:p>
            <w:pPr>
              <w:keepNext w:val="0"/>
              <w:keepLines w:val="0"/>
              <w:suppressLineNumbers w:val="0"/>
              <w:snapToGrid w:val="0"/>
              <w:spacing w:before="0" w:beforeAutospacing="0" w:after="0" w:afterAutospacing="0" w:line="230" w:lineRule="exact"/>
              <w:ind w:left="0" w:right="0"/>
              <w:jc w:val="center"/>
              <w:rPr>
                <w:rFonts w:hint="default" w:eastAsia="宋体"/>
                <w:color w:val="000000"/>
                <w:sz w:val="19"/>
                <w:szCs w:val="21"/>
                <w:lang w:val="en-US" w:eastAsia="zh-CN"/>
              </w:rPr>
            </w:pPr>
            <w:r>
              <w:rPr>
                <w:rFonts w:hint="eastAsia" w:eastAsia="宋体"/>
                <w:color w:val="000000"/>
                <w:sz w:val="19"/>
                <w:szCs w:val="21"/>
                <w:lang w:val="en-US" w:eastAsia="zh-CN"/>
              </w:rPr>
              <w:t>99.72%</w:t>
            </w:r>
          </w:p>
        </w:tc>
        <w:tc>
          <w:tcPr>
            <w:tcW w:w="1413" w:type="dxa"/>
            <w:noWrap w:val="0"/>
            <w:vAlign w:val="center"/>
          </w:tcPr>
          <w:p>
            <w:pPr>
              <w:keepNext w:val="0"/>
              <w:keepLines w:val="0"/>
              <w:suppressLineNumbers w:val="0"/>
              <w:snapToGrid w:val="0"/>
              <w:spacing w:before="0" w:beforeAutospacing="0" w:after="0" w:afterAutospacing="0" w:line="230" w:lineRule="exact"/>
              <w:ind w:left="0" w:right="0" w:firstLine="380" w:firstLineChars="200"/>
              <w:jc w:val="both"/>
              <w:rPr>
                <w:rFonts w:hint="default" w:eastAsia="宋体"/>
                <w:color w:val="000000"/>
                <w:sz w:val="19"/>
                <w:szCs w:val="21"/>
                <w:lang w:val="en-US" w:eastAsia="zh-CN"/>
              </w:rPr>
            </w:pPr>
            <w:r>
              <w:rPr>
                <w:rFonts w:hint="eastAsia" w:eastAsia="宋体"/>
                <w:color w:val="000000"/>
                <w:sz w:val="19"/>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rPr>
                <w:rFonts w:hint="default" w:eastAsiaTheme="minorEastAsia"/>
                <w:color w:val="000000"/>
                <w:kern w:val="0"/>
                <w:sz w:val="19"/>
                <w:szCs w:val="21"/>
                <w:lang w:val="en-US" w:eastAsia="zh-CN"/>
              </w:rPr>
            </w:pPr>
            <w:r>
              <w:rPr>
                <w:rFonts w:hint="default"/>
                <w:color w:val="000000"/>
                <w:kern w:val="0"/>
                <w:sz w:val="19"/>
                <w:szCs w:val="21"/>
              </w:rPr>
              <w:t>按收入性质分：</w:t>
            </w:r>
            <w:r>
              <w:rPr>
                <w:rFonts w:hint="eastAsia"/>
                <w:color w:val="000000"/>
                <w:kern w:val="0"/>
                <w:sz w:val="19"/>
                <w:szCs w:val="21"/>
                <w:lang w:val="en-US" w:eastAsia="zh-CN"/>
              </w:rPr>
              <w:t>89777.30</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rPr>
                <w:rFonts w:hint="default" w:eastAsiaTheme="minorEastAsia"/>
                <w:color w:val="000000"/>
                <w:kern w:val="0"/>
                <w:sz w:val="19"/>
                <w:szCs w:val="21"/>
                <w:lang w:val="en-US" w:eastAsia="zh-CN"/>
              </w:rPr>
            </w:pPr>
            <w:r>
              <w:rPr>
                <w:rFonts w:hint="default"/>
                <w:color w:val="000000"/>
                <w:kern w:val="0"/>
                <w:sz w:val="19"/>
                <w:szCs w:val="21"/>
              </w:rPr>
              <w:t>按支出性质分：</w:t>
            </w:r>
            <w:r>
              <w:rPr>
                <w:rFonts w:hint="eastAsia"/>
                <w:color w:val="000000"/>
                <w:kern w:val="0"/>
                <w:sz w:val="19"/>
                <w:szCs w:val="21"/>
                <w:lang w:val="en-US" w:eastAsia="zh-CN"/>
              </w:rPr>
              <w:t>89521.76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rPr>
                <w:rFonts w:hint="default" w:eastAsiaTheme="minorEastAsia"/>
                <w:color w:val="000000"/>
                <w:kern w:val="0"/>
                <w:sz w:val="19"/>
                <w:szCs w:val="21"/>
                <w:lang w:val="en-US" w:eastAsia="zh-CN"/>
              </w:rPr>
            </w:pPr>
            <w:r>
              <w:rPr>
                <w:rFonts w:hint="default"/>
                <w:color w:val="000000"/>
                <w:kern w:val="0"/>
                <w:sz w:val="19"/>
                <w:szCs w:val="21"/>
              </w:rPr>
              <w:t>其中：  一般公共预算：</w:t>
            </w:r>
            <w:r>
              <w:rPr>
                <w:rFonts w:hint="eastAsia"/>
                <w:color w:val="000000"/>
                <w:kern w:val="0"/>
                <w:sz w:val="19"/>
                <w:szCs w:val="21"/>
                <w:lang w:val="en-US" w:eastAsia="zh-CN"/>
              </w:rPr>
              <w:t>34011.33</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rPr>
                <w:rFonts w:hint="default" w:eastAsiaTheme="minorEastAsia"/>
                <w:color w:val="000000"/>
                <w:kern w:val="0"/>
                <w:sz w:val="19"/>
                <w:szCs w:val="21"/>
                <w:lang w:val="en-US" w:eastAsia="zh-CN"/>
              </w:rPr>
            </w:pPr>
            <w:r>
              <w:rPr>
                <w:rFonts w:hint="default"/>
                <w:color w:val="000000"/>
                <w:kern w:val="0"/>
                <w:sz w:val="19"/>
                <w:szCs w:val="21"/>
              </w:rPr>
              <w:t>其中：基本支出：</w:t>
            </w:r>
            <w:r>
              <w:rPr>
                <w:rFonts w:hint="eastAsia"/>
                <w:color w:val="000000"/>
                <w:kern w:val="0"/>
                <w:sz w:val="19"/>
                <w:szCs w:val="21"/>
                <w:lang w:val="en-US" w:eastAsia="zh-CN"/>
              </w:rPr>
              <w:t>39652.21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firstLine="570" w:firstLineChars="300"/>
              <w:rPr>
                <w:rFonts w:hint="default"/>
                <w:color w:val="000000"/>
                <w:kern w:val="0"/>
                <w:sz w:val="19"/>
                <w:szCs w:val="21"/>
              </w:rPr>
            </w:pPr>
            <w:r>
              <w:rPr>
                <w:rFonts w:hint="default"/>
                <w:color w:val="000000"/>
                <w:kern w:val="0"/>
                <w:sz w:val="19"/>
                <w:szCs w:val="21"/>
              </w:rPr>
              <w:t>政府性基金拨款：</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firstLine="570" w:firstLineChars="300"/>
              <w:rPr>
                <w:rFonts w:hint="default" w:eastAsiaTheme="minorEastAsia"/>
                <w:color w:val="000000"/>
                <w:kern w:val="0"/>
                <w:sz w:val="19"/>
                <w:szCs w:val="21"/>
                <w:lang w:val="en-US" w:eastAsia="zh-CN"/>
              </w:rPr>
            </w:pPr>
            <w:r>
              <w:rPr>
                <w:rFonts w:hint="default"/>
                <w:color w:val="000000"/>
                <w:kern w:val="0"/>
                <w:sz w:val="19"/>
                <w:szCs w:val="21"/>
              </w:rPr>
              <w:t>项目支出：</w:t>
            </w:r>
            <w:r>
              <w:rPr>
                <w:rFonts w:hint="eastAsia"/>
                <w:color w:val="000000"/>
                <w:kern w:val="0"/>
                <w:sz w:val="19"/>
                <w:szCs w:val="21"/>
                <w:lang w:val="en-US" w:eastAsia="zh-CN"/>
              </w:rPr>
              <w:t>49869.55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rPr>
                <w:rFonts w:hint="default" w:eastAsiaTheme="minorEastAsia"/>
                <w:color w:val="000000"/>
                <w:kern w:val="0"/>
                <w:sz w:val="19"/>
                <w:szCs w:val="21"/>
                <w:lang w:val="en-US" w:eastAsia="zh-CN"/>
              </w:rPr>
            </w:pPr>
            <w:r>
              <w:rPr>
                <w:rFonts w:hint="default"/>
                <w:color w:val="000000"/>
                <w:kern w:val="0"/>
                <w:sz w:val="19"/>
                <w:szCs w:val="21"/>
              </w:rPr>
              <w:t>纳入专户管理的非税收入拨款：</w:t>
            </w:r>
            <w:r>
              <w:rPr>
                <w:rFonts w:hint="eastAsia"/>
                <w:color w:val="000000"/>
                <w:kern w:val="0"/>
                <w:sz w:val="19"/>
                <w:szCs w:val="21"/>
                <w:lang w:val="en-US" w:eastAsia="zh-CN"/>
              </w:rPr>
              <w:t>24471.33</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firstLine="570" w:firstLineChars="300"/>
              <w:rPr>
                <w:rFonts w:hint="default" w:eastAsiaTheme="minorEastAsia"/>
                <w:color w:val="000000"/>
                <w:kern w:val="0"/>
                <w:sz w:val="19"/>
                <w:szCs w:val="21"/>
                <w:lang w:val="en-US" w:eastAsia="zh-CN"/>
              </w:rPr>
            </w:pPr>
            <w:r>
              <w:rPr>
                <w:rFonts w:hint="default"/>
                <w:color w:val="000000"/>
                <w:kern w:val="0"/>
                <w:sz w:val="19"/>
                <w:szCs w:val="21"/>
              </w:rPr>
              <w:t>其他资金：</w:t>
            </w:r>
            <w:r>
              <w:rPr>
                <w:rFonts w:hint="eastAsia"/>
                <w:color w:val="000000"/>
                <w:kern w:val="0"/>
                <w:sz w:val="19"/>
                <w:szCs w:val="21"/>
                <w:lang w:val="en-US" w:eastAsia="zh-CN"/>
              </w:rPr>
              <w:t>31294.64</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93"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年度总体</w:t>
            </w:r>
          </w:p>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目    标</w:t>
            </w: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预期目标</w:t>
            </w: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r>
              <w:rPr>
                <w:rFonts w:hint="default"/>
                <w:color w:val="000000"/>
                <w:kern w:val="0"/>
                <w:sz w:val="19"/>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5336" w:type="dxa"/>
            <w:gridSpan w:val="5"/>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c>
          <w:tcPr>
            <w:tcW w:w="3609" w:type="dxa"/>
            <w:gridSpan w:val="3"/>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color w:val="000000"/>
                <w:kern w:val="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绩</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标</w:t>
            </w:r>
          </w:p>
        </w:tc>
        <w:tc>
          <w:tcPr>
            <w:tcW w:w="677"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一级指标</w:t>
            </w:r>
          </w:p>
        </w:tc>
        <w:tc>
          <w:tcPr>
            <w:tcW w:w="861"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二级</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三级指标</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年  度</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指标值</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实  际</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完成值</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分值</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得分</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偏差原因</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分 析 及</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产出指标</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(50分)</w:t>
            </w:r>
          </w:p>
        </w:tc>
        <w:tc>
          <w:tcPr>
            <w:tcW w:w="861"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数量</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组织开展党建活动</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8</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4</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组织开展德育活动</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4</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4</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组织参与省级以上的各类比赛</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sz w:val="19"/>
                <w:szCs w:val="19"/>
              </w:rPr>
              <w:t>2次</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2</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rPr>
              <w:t>省级以上立项课题（含省教育厅重点课题、青年课题）</w:t>
            </w:r>
            <w:r>
              <w:rPr>
                <w:rFonts w:hint="eastAsia" w:ascii="宋体" w:hAnsi="宋体" w:eastAsia="宋体" w:cs="宋体"/>
                <w:color w:val="000000"/>
                <w:kern w:val="0"/>
                <w:sz w:val="19"/>
                <w:szCs w:val="19"/>
                <w:lang w:eastAsia="zh-CN"/>
              </w:rPr>
              <w:t>数量</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firstLine="190" w:firstLineChars="100"/>
              <w:jc w:val="both"/>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100</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102</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default" w:ascii="宋体" w:hAnsi="宋体" w:eastAsia="宋体" w:cs="宋体"/>
                <w:color w:val="000000"/>
                <w:kern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rPr>
              <w:t>省级各类教学比赛教师获奖数</w:t>
            </w:r>
            <w:r>
              <w:rPr>
                <w:rFonts w:hint="eastAsia" w:ascii="宋体" w:hAnsi="宋体" w:eastAsia="宋体" w:cs="宋体"/>
                <w:color w:val="000000"/>
                <w:kern w:val="0"/>
                <w:sz w:val="19"/>
                <w:szCs w:val="19"/>
                <w:lang w:eastAsia="zh-CN"/>
              </w:rPr>
              <w:t>量</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4</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4</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default" w:ascii="宋体" w:hAnsi="宋体" w:eastAsia="宋体" w:cs="宋体"/>
                <w:color w:val="000000"/>
                <w:kern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auto"/>
                <w:kern w:val="0"/>
                <w:sz w:val="19"/>
                <w:szCs w:val="19"/>
                <w:lang w:eastAsia="zh-CN"/>
              </w:rPr>
            </w:pPr>
            <w:r>
              <w:rPr>
                <w:rFonts w:hint="eastAsia" w:ascii="宋体" w:hAnsi="宋体" w:eastAsia="宋体" w:cs="宋体"/>
                <w:color w:val="auto"/>
                <w:kern w:val="0"/>
                <w:sz w:val="19"/>
                <w:szCs w:val="19"/>
              </w:rPr>
              <w:t>省级各类比赛学生获奖</w:t>
            </w:r>
            <w:r>
              <w:rPr>
                <w:rFonts w:hint="eastAsia" w:ascii="宋体" w:hAnsi="宋体" w:eastAsia="宋体" w:cs="宋体"/>
                <w:color w:val="auto"/>
                <w:kern w:val="0"/>
                <w:sz w:val="19"/>
                <w:szCs w:val="19"/>
                <w:lang w:eastAsia="zh-CN"/>
              </w:rPr>
              <w:t>人数</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rPr>
              <w:t>≥</w:t>
            </w:r>
            <w:r>
              <w:rPr>
                <w:rFonts w:hint="eastAsia" w:ascii="宋体" w:hAnsi="宋体" w:eastAsia="宋体" w:cs="宋体"/>
                <w:color w:val="auto"/>
                <w:sz w:val="19"/>
                <w:szCs w:val="19"/>
                <w:lang w:val="en-US" w:eastAsia="zh-CN"/>
              </w:rPr>
              <w:t>20</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auto"/>
                <w:kern w:val="0"/>
                <w:sz w:val="19"/>
                <w:szCs w:val="19"/>
                <w:lang w:val="en-US" w:eastAsia="zh-CN"/>
              </w:rPr>
            </w:pPr>
            <w:r>
              <w:rPr>
                <w:rFonts w:hint="eastAsia" w:ascii="宋体" w:hAnsi="宋体" w:eastAsia="宋体" w:cs="宋体"/>
                <w:color w:val="auto"/>
                <w:kern w:val="0"/>
                <w:sz w:val="19"/>
                <w:szCs w:val="19"/>
                <w:lang w:val="en-US" w:eastAsia="zh-CN"/>
              </w:rPr>
              <w:t>306</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auto"/>
                <w:kern w:val="0"/>
                <w:sz w:val="19"/>
                <w:szCs w:val="19"/>
              </w:rPr>
            </w:pPr>
            <w:r>
              <w:rPr>
                <w:rFonts w:hint="eastAsia" w:ascii="宋体" w:hAnsi="宋体" w:eastAsia="宋体" w:cs="宋体"/>
                <w:color w:val="auto"/>
                <w:kern w:val="0"/>
                <w:sz w:val="19"/>
                <w:szCs w:val="19"/>
              </w:rPr>
              <w:t>3</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lang w:val="en-US" w:eastAsia="zh-CN"/>
              </w:rPr>
              <w:t>3</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培养公费定向师范生人数</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550</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562</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rPr>
                <w:rFonts w:hint="eastAsia" w:ascii="宋体" w:hAnsi="宋体" w:eastAsia="宋体" w:cs="宋体"/>
                <w:color w:val="000000"/>
                <w:kern w:val="0"/>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jc w:val="left"/>
              <w:rPr>
                <w:rFonts w:hint="eastAsia" w:ascii="宋体" w:hAnsi="宋体" w:eastAsia="宋体" w:cs="宋体"/>
                <w:color w:val="000000"/>
                <w:kern w:val="0"/>
                <w:sz w:val="19"/>
                <w:szCs w:val="19"/>
              </w:rPr>
            </w:pPr>
          </w:p>
        </w:tc>
        <w:tc>
          <w:tcPr>
            <w:tcW w:w="861" w:type="dxa"/>
            <w:vMerge w:val="restart"/>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质量</w:t>
            </w:r>
          </w:p>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jc w:val="left"/>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eastAsia="zh-CN"/>
              </w:rPr>
              <w:t>毕业生初次就业率</w:t>
            </w: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rPr>
              <w:t>88%</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rPr>
              <w:t>90.38%</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93" w:type="dxa"/>
            <w:vMerge w:val="continue"/>
            <w:noWrap w:val="0"/>
            <w:vAlign w:val="center"/>
          </w:tcPr>
          <w:p>
            <w:pPr>
              <w:keepNext w:val="0"/>
              <w:keepLines w:val="0"/>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30" w:lineRule="exact"/>
              <w:ind w:left="0" w:right="0"/>
              <w:jc w:val="left"/>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3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建立完善的财务管理制度</w:t>
            </w:r>
          </w:p>
          <w:p>
            <w:pPr>
              <w:keepNext w:val="0"/>
              <w:keepLines w:val="0"/>
              <w:widowControl/>
              <w:suppressLineNumbers w:val="0"/>
              <w:snapToGrid w:val="0"/>
              <w:spacing w:before="0" w:beforeAutospacing="0" w:after="0" w:afterAutospacing="0" w:line="230" w:lineRule="exact"/>
              <w:ind w:left="0" w:right="0"/>
              <w:jc w:val="left"/>
              <w:rPr>
                <w:rFonts w:hint="eastAsia" w:ascii="宋体" w:hAnsi="宋体" w:eastAsia="宋体" w:cs="宋体"/>
                <w:color w:val="000000"/>
                <w:kern w:val="0"/>
                <w:sz w:val="19"/>
                <w:szCs w:val="19"/>
              </w:rPr>
            </w:pPr>
          </w:p>
        </w:tc>
        <w:tc>
          <w:tcPr>
            <w:tcW w:w="972"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6</w:t>
            </w:r>
          </w:p>
        </w:tc>
        <w:tc>
          <w:tcPr>
            <w:tcW w:w="1044"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936"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6</w:t>
            </w:r>
          </w:p>
        </w:tc>
        <w:tc>
          <w:tcPr>
            <w:tcW w:w="1260" w:type="dxa"/>
            <w:noWrap w:val="0"/>
            <w:vAlign w:val="center"/>
          </w:tcPr>
          <w:p>
            <w:pPr>
              <w:keepNext w:val="0"/>
              <w:keepLines w:val="0"/>
              <w:widowControl/>
              <w:suppressLineNumbers w:val="0"/>
              <w:snapToGrid w:val="0"/>
              <w:spacing w:before="0" w:beforeAutospacing="0" w:after="0" w:afterAutospacing="0" w:line="23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p>
          <w:p>
            <w:pPr>
              <w:keepNext w:val="0"/>
              <w:keepLines w:val="0"/>
              <w:widowControl/>
              <w:suppressLineNumbers w:val="0"/>
              <w:snapToGrid w:val="0"/>
              <w:spacing w:before="0" w:beforeAutospacing="0" w:after="0" w:afterAutospacing="0" w:line="240" w:lineRule="exact"/>
              <w:ind w:left="0" w:right="0"/>
              <w:jc w:val="both"/>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财务管理制度有待进一步完善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restart"/>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861" w:type="dxa"/>
            <w:vMerge w:val="restart"/>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时效</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500万以上重大在建基础设施建设项目进度偏差率</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0</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及时落实上级部门工作任务</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及时</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及时</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861" w:type="dxa"/>
            <w:vMerge w:val="restart"/>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成本</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在职人员控制率</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eastAsia="zh-CN"/>
              </w:rPr>
              <w:t>《</w:t>
            </w:r>
            <w:r>
              <w:rPr>
                <w:rFonts w:hint="eastAsia" w:ascii="宋体" w:hAnsi="宋体" w:eastAsia="宋体" w:cs="宋体"/>
                <w:color w:val="000000"/>
                <w:kern w:val="0"/>
                <w:sz w:val="19"/>
                <w:szCs w:val="19"/>
                <w:lang w:val="en-US" w:eastAsia="zh-CN"/>
              </w:rPr>
              <w:t>100%</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78.43%</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2</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2</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三公经费</w:t>
            </w:r>
            <w:r>
              <w:rPr>
                <w:rFonts w:hint="eastAsia" w:ascii="宋体" w:hAnsi="宋体" w:eastAsia="宋体" w:cs="宋体"/>
                <w:color w:val="000000"/>
                <w:kern w:val="0"/>
                <w:sz w:val="19"/>
                <w:szCs w:val="19"/>
                <w:lang w:val="en-US" w:eastAsia="zh-CN"/>
              </w:rPr>
              <w:t>控制率</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-10.41%</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restart"/>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效益指标（30分）</w:t>
            </w:r>
          </w:p>
        </w:tc>
        <w:tc>
          <w:tcPr>
            <w:tcW w:w="861" w:type="dxa"/>
            <w:vMerge w:val="restart"/>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经济</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科研成果转化</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1项</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校企合作或大学生创业产生直接经济效益明显</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1项</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7</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top"/>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93" w:type="dxa"/>
            <w:vMerge w:val="continue"/>
            <w:noWrap w:val="0"/>
            <w:vAlign w:val="top"/>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p>
        </w:tc>
        <w:tc>
          <w:tcPr>
            <w:tcW w:w="861" w:type="dxa"/>
            <w:vMerge w:val="restart"/>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val="en-US" w:eastAsia="zh-CN"/>
              </w:rPr>
              <w:t>社会</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贫困生资助比例同比增长率</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≥0</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1.17</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93" w:type="dxa"/>
            <w:vMerge w:val="continue"/>
            <w:noWrap w:val="0"/>
            <w:vAlign w:val="top"/>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由于师德师风因素造成社会不良影响事故</w:t>
            </w:r>
          </w:p>
        </w:tc>
        <w:tc>
          <w:tcPr>
            <w:tcW w:w="972"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0</w:t>
            </w:r>
          </w:p>
        </w:tc>
        <w:tc>
          <w:tcPr>
            <w:tcW w:w="1044"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0</w:t>
            </w:r>
          </w:p>
        </w:tc>
        <w:tc>
          <w:tcPr>
            <w:tcW w:w="936"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w:t>
            </w:r>
          </w:p>
        </w:tc>
        <w:tc>
          <w:tcPr>
            <w:tcW w:w="1413" w:type="dxa"/>
            <w:noWrap w:val="0"/>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0"/>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p>
        </w:tc>
        <w:tc>
          <w:tcPr>
            <w:tcW w:w="861"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生态</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效益</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生活</w:t>
            </w:r>
            <w:r>
              <w:rPr>
                <w:rFonts w:hint="eastAsia" w:ascii="宋体" w:hAnsi="宋体" w:eastAsia="宋体" w:cs="宋体"/>
                <w:color w:val="000000"/>
                <w:kern w:val="0"/>
                <w:sz w:val="19"/>
                <w:szCs w:val="19"/>
              </w:rPr>
              <w:t>垃圾分类</w:t>
            </w:r>
            <w:r>
              <w:rPr>
                <w:rFonts w:hint="eastAsia" w:ascii="宋体" w:hAnsi="宋体" w:eastAsia="宋体" w:cs="宋体"/>
                <w:color w:val="000000"/>
                <w:kern w:val="0"/>
                <w:sz w:val="19"/>
                <w:szCs w:val="19"/>
                <w:lang w:eastAsia="zh-CN"/>
              </w:rPr>
              <w:t>知识普及率</w:t>
            </w:r>
          </w:p>
        </w:tc>
        <w:tc>
          <w:tcPr>
            <w:tcW w:w="972"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100%</w:t>
            </w:r>
          </w:p>
        </w:tc>
        <w:tc>
          <w:tcPr>
            <w:tcW w:w="1044"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100%</w:t>
            </w:r>
          </w:p>
        </w:tc>
        <w:tc>
          <w:tcPr>
            <w:tcW w:w="936"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p>
        </w:tc>
        <w:tc>
          <w:tcPr>
            <w:tcW w:w="861"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可持续</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影响</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指标</w:t>
            </w:r>
          </w:p>
        </w:tc>
        <w:tc>
          <w:tcPr>
            <w:tcW w:w="1782" w:type="dxa"/>
            <w:noWrap w:val="0"/>
            <w:vAlign w:val="center"/>
          </w:tcPr>
          <w:p>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lang w:eastAsia="zh-CN"/>
              </w:rPr>
              <w:t>预算</w:t>
            </w:r>
            <w:r>
              <w:rPr>
                <w:rFonts w:hint="eastAsia" w:ascii="宋体" w:hAnsi="宋体" w:eastAsia="宋体" w:cs="宋体"/>
                <w:color w:val="000000"/>
                <w:kern w:val="0"/>
                <w:sz w:val="19"/>
                <w:szCs w:val="19"/>
              </w:rPr>
              <w:t>支出对绩效目标产生可持续影响效果</w:t>
            </w:r>
          </w:p>
        </w:tc>
        <w:tc>
          <w:tcPr>
            <w:tcW w:w="972"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效果明显</w:t>
            </w:r>
          </w:p>
        </w:tc>
        <w:tc>
          <w:tcPr>
            <w:tcW w:w="1044"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lang w:eastAsia="zh-CN"/>
              </w:rPr>
              <w:t>效果一般</w:t>
            </w:r>
          </w:p>
        </w:tc>
        <w:tc>
          <w:tcPr>
            <w:tcW w:w="936"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3</w:t>
            </w:r>
          </w:p>
        </w:tc>
        <w:tc>
          <w:tcPr>
            <w:tcW w:w="1413" w:type="dxa"/>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加强预算执行刚性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restart"/>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w:t>
            </w:r>
          </w:p>
          <w:p>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意</w:t>
            </w:r>
          </w:p>
          <w:p>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度</w:t>
            </w:r>
          </w:p>
          <w:p>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w:t>
            </w:r>
          </w:p>
          <w:p>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标（10分）</w:t>
            </w:r>
          </w:p>
        </w:tc>
        <w:tc>
          <w:tcPr>
            <w:tcW w:w="861" w:type="dxa"/>
            <w:vMerge w:val="restart"/>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服  务</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对  象</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满意度</w:t>
            </w:r>
          </w:p>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指  标</w:t>
            </w:r>
          </w:p>
        </w:tc>
        <w:tc>
          <w:tcPr>
            <w:tcW w:w="1782" w:type="dxa"/>
            <w:noWrap w:val="0"/>
            <w:vAlign w:val="center"/>
          </w:tcPr>
          <w:p>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教职工满意度调查分数</w:t>
            </w:r>
          </w:p>
        </w:tc>
        <w:tc>
          <w:tcPr>
            <w:tcW w:w="972"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90</w:t>
            </w:r>
          </w:p>
        </w:tc>
        <w:tc>
          <w:tcPr>
            <w:tcW w:w="1044"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95</w:t>
            </w:r>
          </w:p>
        </w:tc>
        <w:tc>
          <w:tcPr>
            <w:tcW w:w="936"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3" w:type="dxa"/>
            <w:vMerge w:val="continue"/>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c>
          <w:tcPr>
            <w:tcW w:w="677" w:type="dxa"/>
            <w:vMerge w:val="continue"/>
            <w:noWrap w:val="0"/>
            <w:vAlign w:val="center"/>
          </w:tcPr>
          <w:p>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p>
        </w:tc>
        <w:tc>
          <w:tcPr>
            <w:tcW w:w="861" w:type="dxa"/>
            <w:vMerge w:val="continue"/>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p>
        </w:tc>
        <w:tc>
          <w:tcPr>
            <w:tcW w:w="1782" w:type="dxa"/>
            <w:noWrap w:val="0"/>
            <w:vAlign w:val="center"/>
          </w:tcPr>
          <w:p>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学生满意度调查分数</w:t>
            </w:r>
          </w:p>
        </w:tc>
        <w:tc>
          <w:tcPr>
            <w:tcW w:w="972"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90</w:t>
            </w:r>
          </w:p>
        </w:tc>
        <w:tc>
          <w:tcPr>
            <w:tcW w:w="1044" w:type="dxa"/>
            <w:noWrap w:val="0"/>
            <w:vAlign w:val="center"/>
          </w:tcPr>
          <w:p>
            <w:pPr>
              <w:keepNext w:val="0"/>
              <w:keepLines w:val="0"/>
              <w:widowControl/>
              <w:suppressLineNumbers w:val="0"/>
              <w:snapToGrid w:val="0"/>
              <w:spacing w:before="0" w:beforeAutospacing="0" w:after="0" w:afterAutospacing="0" w:line="320" w:lineRule="exact"/>
              <w:ind w:left="0" w:right="0" w:firstLine="380" w:firstLineChars="200"/>
              <w:jc w:val="both"/>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92</w:t>
            </w:r>
          </w:p>
        </w:tc>
        <w:tc>
          <w:tcPr>
            <w:tcW w:w="936"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5</w:t>
            </w:r>
          </w:p>
        </w:tc>
        <w:tc>
          <w:tcPr>
            <w:tcW w:w="1260" w:type="dxa"/>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5</w:t>
            </w:r>
          </w:p>
        </w:tc>
        <w:tc>
          <w:tcPr>
            <w:tcW w:w="1413"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2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总分</w:t>
            </w:r>
          </w:p>
        </w:tc>
        <w:tc>
          <w:tcPr>
            <w:tcW w:w="936"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100</w:t>
            </w:r>
          </w:p>
        </w:tc>
        <w:tc>
          <w:tcPr>
            <w:tcW w:w="1260" w:type="dxa"/>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97</w:t>
            </w:r>
          </w:p>
        </w:tc>
        <w:tc>
          <w:tcPr>
            <w:tcW w:w="1413" w:type="dxa"/>
            <w:noWrap w:val="0"/>
            <w:vAlign w:val="top"/>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000000"/>
                <w:kern w:val="0"/>
                <w:sz w:val="19"/>
                <w:szCs w:val="19"/>
              </w:rPr>
            </w:pPr>
          </w:p>
        </w:tc>
      </w:tr>
    </w:tbl>
    <w:p>
      <w:pPr>
        <w:widowControl/>
        <w:jc w:val="left"/>
        <w:rPr>
          <w:rFonts w:hint="eastAsia" w:ascii="宋体" w:hAnsi="宋体" w:eastAsia="宋体" w:cs="Times New Roman"/>
          <w:kern w:val="0"/>
          <w:sz w:val="22"/>
          <w:szCs w:val="20"/>
        </w:rPr>
      </w:pPr>
    </w:p>
    <w:p>
      <w:pPr>
        <w:widowControl/>
        <w:jc w:val="left"/>
        <w:rPr>
          <w:rFonts w:hint="default" w:ascii="宋体" w:hAnsi="宋体" w:eastAsia="宋体" w:cs="Times New Roman"/>
          <w:kern w:val="0"/>
          <w:sz w:val="22"/>
          <w:szCs w:val="20"/>
          <w:lang w:val="en-US" w:eastAsia="zh-CN"/>
        </w:rPr>
      </w:pPr>
      <w:r>
        <w:rPr>
          <w:rFonts w:hint="eastAsia" w:ascii="宋体" w:hAnsi="宋体" w:eastAsia="宋体" w:cs="Times New Roman"/>
          <w:kern w:val="0"/>
          <w:sz w:val="22"/>
          <w:szCs w:val="20"/>
          <w:lang w:val="en-US" w:eastAsia="zh-CN"/>
        </w:rPr>
        <w:t>填表人：李朔一  填报日期：2022-5-2  联系电话：13450163905   单位负责人签字：张平</w:t>
      </w:r>
      <w:bookmarkStart w:id="0" w:name="_GoBack"/>
      <w:bookmarkEnd w:id="0"/>
    </w:p>
    <w:p>
      <w:pPr>
        <w:spacing w:line="360" w:lineRule="auto"/>
        <w:rPr>
          <w:rFonts w:hint="default" w:ascii="仿宋" w:hAnsi="仿宋" w:eastAsia="仿宋" w:cs="仿宋"/>
          <w:sz w:val="30"/>
          <w:szCs w:val="30"/>
          <w:lang w:val="en-US" w:eastAsia="zh-CN"/>
        </w:rPr>
      </w:pPr>
    </w:p>
    <w:p/>
    <w:p>
      <w:pPr>
        <w:ind w:firstLine="664" w:firstLineChars="200"/>
        <w:rPr>
          <w:rFonts w:hint="default" w:ascii="仿宋" w:hAnsi="仿宋" w:eastAsia="仿宋" w:cs="仿宋"/>
          <w:spacing w:val="6"/>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E72CB"/>
    <w:multiLevelType w:val="singleLevel"/>
    <w:tmpl w:val="C92E72CB"/>
    <w:lvl w:ilvl="0" w:tentative="0">
      <w:start w:val="7"/>
      <w:numFmt w:val="chineseCounting"/>
      <w:suff w:val="nothing"/>
      <w:lvlText w:val="%1、"/>
      <w:lvlJc w:val="left"/>
      <w:rPr>
        <w:rFonts w:hint="eastAsia"/>
      </w:rPr>
    </w:lvl>
  </w:abstractNum>
  <w:abstractNum w:abstractNumId="1">
    <w:nsid w:val="21F66AE5"/>
    <w:multiLevelType w:val="singleLevel"/>
    <w:tmpl w:val="21F66AE5"/>
    <w:lvl w:ilvl="0" w:tentative="0">
      <w:start w:val="1"/>
      <w:numFmt w:val="chineseCounting"/>
      <w:suff w:val="nothing"/>
      <w:lvlText w:val="%1、"/>
      <w:lvlJc w:val="left"/>
      <w:rPr>
        <w:rFonts w:hint="eastAsia"/>
      </w:rPr>
    </w:lvl>
  </w:abstractNum>
  <w:abstractNum w:abstractNumId="2">
    <w:nsid w:val="264BC963"/>
    <w:multiLevelType w:val="singleLevel"/>
    <w:tmpl w:val="264BC96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WRhMjA5ZGU4MTVjM2QzNThjMDQ2YzZlYTlkZmIifQ=="/>
  </w:docVars>
  <w:rsids>
    <w:rsidRoot w:val="00172A27"/>
    <w:rsid w:val="03ED145E"/>
    <w:rsid w:val="07A609C0"/>
    <w:rsid w:val="084F3587"/>
    <w:rsid w:val="08A14165"/>
    <w:rsid w:val="0AB21524"/>
    <w:rsid w:val="0C17575C"/>
    <w:rsid w:val="0C593760"/>
    <w:rsid w:val="0D0C33C8"/>
    <w:rsid w:val="10C4643E"/>
    <w:rsid w:val="113B5975"/>
    <w:rsid w:val="14AD3953"/>
    <w:rsid w:val="14F93856"/>
    <w:rsid w:val="155D0ED5"/>
    <w:rsid w:val="16C24919"/>
    <w:rsid w:val="176F7688"/>
    <w:rsid w:val="186C7681"/>
    <w:rsid w:val="18E639C6"/>
    <w:rsid w:val="19883023"/>
    <w:rsid w:val="225A1D04"/>
    <w:rsid w:val="22EA7B20"/>
    <w:rsid w:val="23037538"/>
    <w:rsid w:val="247B6CB7"/>
    <w:rsid w:val="275F6B29"/>
    <w:rsid w:val="2817598E"/>
    <w:rsid w:val="2B7E0C38"/>
    <w:rsid w:val="2CF02F60"/>
    <w:rsid w:val="2E535EF2"/>
    <w:rsid w:val="2FA811CE"/>
    <w:rsid w:val="32696979"/>
    <w:rsid w:val="327D6E8F"/>
    <w:rsid w:val="37A758C0"/>
    <w:rsid w:val="37F24FBE"/>
    <w:rsid w:val="386C12AB"/>
    <w:rsid w:val="394C4C8F"/>
    <w:rsid w:val="3AEB1003"/>
    <w:rsid w:val="3B26652A"/>
    <w:rsid w:val="3B7A7639"/>
    <w:rsid w:val="3E552134"/>
    <w:rsid w:val="41452445"/>
    <w:rsid w:val="43D2373F"/>
    <w:rsid w:val="48C54D11"/>
    <w:rsid w:val="4A945C93"/>
    <w:rsid w:val="4B816B9A"/>
    <w:rsid w:val="5086682B"/>
    <w:rsid w:val="54615822"/>
    <w:rsid w:val="559E70B5"/>
    <w:rsid w:val="568B373F"/>
    <w:rsid w:val="5FA308DE"/>
    <w:rsid w:val="615C06F4"/>
    <w:rsid w:val="651421FF"/>
    <w:rsid w:val="6A9C0CCD"/>
    <w:rsid w:val="6D463172"/>
    <w:rsid w:val="7036127C"/>
    <w:rsid w:val="70516D1D"/>
    <w:rsid w:val="70742A41"/>
    <w:rsid w:val="70893748"/>
    <w:rsid w:val="70FA2D96"/>
    <w:rsid w:val="7154657E"/>
    <w:rsid w:val="75755919"/>
    <w:rsid w:val="75D62AA2"/>
    <w:rsid w:val="7B6629BA"/>
    <w:rsid w:val="7D0F4C5C"/>
    <w:rsid w:val="7E700C63"/>
    <w:rsid w:val="7F88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Calibri"/>
      <w:szCs w:val="21"/>
    </w:r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spacing w:beforeLines="0" w:afterLines="0"/>
      <w:jc w:val="left"/>
    </w:pPr>
    <w:rPr>
      <w:rFonts w:hint="default"/>
      <w:sz w:val="18"/>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styleId="8">
    <w:name w:val="Body Text First Indent 2"/>
    <w:basedOn w:val="3"/>
    <w:qFormat/>
    <w:uiPriority w:val="0"/>
    <w:pPr>
      <w:ind w:firstLine="420" w:firstLineChars="200"/>
    </w:p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5866</Words>
  <Characters>6661</Characters>
  <Lines>1</Lines>
  <Paragraphs>1</Paragraphs>
  <TotalTime>4</TotalTime>
  <ScaleCrop>false</ScaleCrop>
  <LinksUpToDate>false</LinksUpToDate>
  <CharactersWithSpaces>6806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2022-04-11T02:41:00Z</dcterms:created>
  <dc:creator>lenovo</dc:creator>
  <cp:lastModifiedBy>臭臭的长工</cp:lastModifiedBy>
  <dcterms:modified xsi:type="dcterms:W3CDTF">2022-05-27T01:45:41Z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9D59C0A64D4C4B6DB1FEA7F21B467CBA</vt:lpwstr>
  </property>
</Properties>
</file>