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D15" w:rsidRPr="00BC300D" w:rsidRDefault="00BC300D">
      <w:pPr>
        <w:jc w:val="left"/>
        <w:rPr>
          <w:rFonts w:ascii="楷体" w:eastAsia="楷体" w:hAnsi="楷体"/>
          <w:bCs/>
          <w:sz w:val="28"/>
          <w:szCs w:val="28"/>
        </w:rPr>
      </w:pPr>
      <w:r w:rsidRPr="00BC300D">
        <w:rPr>
          <w:rFonts w:ascii="楷体" w:eastAsia="楷体" w:hAnsi="楷体"/>
          <w:bCs/>
          <w:sz w:val="28"/>
          <w:szCs w:val="28"/>
        </w:rPr>
        <w:t>附件</w:t>
      </w:r>
      <w:r w:rsidR="00EF4569">
        <w:rPr>
          <w:rFonts w:ascii="楷体" w:eastAsia="楷体" w:hAnsi="楷体" w:hint="eastAsia"/>
          <w:bCs/>
          <w:sz w:val="28"/>
          <w:szCs w:val="28"/>
        </w:rPr>
        <w:t>1</w:t>
      </w:r>
    </w:p>
    <w:p w:rsidR="00104D15" w:rsidRDefault="004A7A6D" w:rsidP="00220A93">
      <w:pPr>
        <w:jc w:val="center"/>
        <w:rPr>
          <w:rFonts w:ascii="楷体" w:eastAsia="楷体" w:hAnsi="楷体"/>
          <w:b/>
          <w:bCs/>
          <w:sz w:val="30"/>
          <w:szCs w:val="30"/>
        </w:rPr>
      </w:pPr>
      <w:r>
        <w:rPr>
          <w:rFonts w:ascii="楷体" w:eastAsia="楷体" w:hAnsi="楷体" w:hint="eastAsia"/>
          <w:b/>
          <w:bCs/>
          <w:sz w:val="30"/>
          <w:szCs w:val="30"/>
        </w:rPr>
        <w:t>邵阳学院与马来西亚城市大学博士联合培养项目</w:t>
      </w:r>
      <w:r w:rsidR="00220A93">
        <w:rPr>
          <w:rFonts w:ascii="楷体" w:eastAsia="楷体" w:hAnsi="楷体" w:hint="eastAsia"/>
          <w:b/>
          <w:bCs/>
          <w:sz w:val="30"/>
          <w:szCs w:val="30"/>
        </w:rPr>
        <w:t>介绍</w:t>
      </w:r>
    </w:p>
    <w:p w:rsidR="00104D15" w:rsidRDefault="004A7A6D" w:rsidP="00220A93">
      <w:pPr>
        <w:jc w:val="center"/>
        <w:rPr>
          <w:rFonts w:ascii="楷体" w:eastAsia="楷体" w:hAnsi="楷体"/>
          <w:b/>
          <w:bCs/>
          <w:sz w:val="30"/>
          <w:szCs w:val="30"/>
        </w:rPr>
      </w:pPr>
      <w:r>
        <w:rPr>
          <w:rFonts w:ascii="楷体" w:eastAsia="楷体" w:hAnsi="楷体"/>
          <w:b/>
          <w:bCs/>
          <w:sz w:val="30"/>
          <w:szCs w:val="30"/>
        </w:rPr>
        <w:t>(</w:t>
      </w:r>
      <w:r>
        <w:rPr>
          <w:rFonts w:ascii="楷体" w:eastAsia="楷体" w:hAnsi="楷体" w:hint="eastAsia"/>
          <w:b/>
          <w:bCs/>
          <w:sz w:val="30"/>
          <w:szCs w:val="30"/>
        </w:rPr>
        <w:t>2019年秋季</w:t>
      </w:r>
      <w:r>
        <w:rPr>
          <w:rFonts w:ascii="楷体" w:eastAsia="楷体" w:hAnsi="楷体"/>
          <w:b/>
          <w:bCs/>
          <w:sz w:val="30"/>
          <w:szCs w:val="30"/>
        </w:rPr>
        <w:t>)</w:t>
      </w:r>
    </w:p>
    <w:p w:rsidR="00104D15" w:rsidRDefault="004A7A6D">
      <w:pPr>
        <w:spacing w:line="360" w:lineRule="auto"/>
        <w:rPr>
          <w:rFonts w:ascii="楷体" w:eastAsia="楷体" w:hAnsi="楷体" w:cs="楷体"/>
          <w:b/>
          <w:color w:val="161616"/>
          <w:sz w:val="28"/>
          <w:szCs w:val="28"/>
        </w:rPr>
      </w:pPr>
      <w:r>
        <w:rPr>
          <w:rFonts w:ascii="楷体" w:eastAsia="楷体" w:hAnsi="楷体" w:cs="楷体" w:hint="eastAsia"/>
          <w:b/>
          <w:color w:val="161616"/>
          <w:sz w:val="28"/>
          <w:szCs w:val="28"/>
        </w:rPr>
        <w:t>一、马来西亚城市大学简介</w:t>
      </w:r>
    </w:p>
    <w:p w:rsidR="00104D15" w:rsidRDefault="004A7A6D" w:rsidP="002258D8">
      <w:pPr>
        <w:ind w:firstLineChars="200" w:firstLine="480"/>
        <w:rPr>
          <w:rFonts w:ascii="楷体" w:eastAsia="楷体" w:hAnsi="楷体"/>
          <w:color w:val="161616"/>
          <w:sz w:val="24"/>
        </w:rPr>
      </w:pPr>
      <w:bookmarkStart w:id="0" w:name="OLE_LINK6"/>
      <w:bookmarkStart w:id="1" w:name="OLE_LINK5"/>
      <w:bookmarkStart w:id="2" w:name="OLE_LINK4"/>
      <w:r>
        <w:rPr>
          <w:rFonts w:ascii="楷体" w:eastAsia="楷体" w:hAnsi="楷体" w:hint="eastAsia"/>
          <w:color w:val="161616"/>
          <w:sz w:val="24"/>
        </w:rPr>
        <w:t>马来西亚城市大学（City University ，Malaysia）成立于 1984 年，是经马来西亚国家教育部及国家学术鉴定局（MQA）批准的正规全日制高校。前身为马来西亚城市理工大学学院， 2016年大学升格为马来西亚城市大学。</w:t>
      </w:r>
    </w:p>
    <w:p w:rsidR="00104D15" w:rsidRDefault="004A7A6D" w:rsidP="002258D8">
      <w:pPr>
        <w:ind w:firstLineChars="200" w:firstLine="480"/>
        <w:rPr>
          <w:rFonts w:ascii="楷体" w:eastAsia="楷体" w:hAnsi="楷体"/>
          <w:color w:val="161616"/>
          <w:sz w:val="24"/>
        </w:rPr>
      </w:pPr>
      <w:r>
        <w:rPr>
          <w:rFonts w:ascii="楷体" w:eastAsia="楷体" w:hAnsi="楷体" w:hint="eastAsia"/>
          <w:color w:val="161616"/>
          <w:sz w:val="24"/>
        </w:rPr>
        <w:t>大学设有大专、本科学士学位、硕士学位和博士学位课程。位列中国驻马来西亚大使馆文化（教育）处和中国教育部的认证的私立前5的名校，是马来西亚和中国政府“一带一路”指定合作大学。大学连续多年被马来西亚教育部认证为五星级优秀大学。</w:t>
      </w:r>
    </w:p>
    <w:p w:rsidR="00104D15" w:rsidRDefault="004A7A6D" w:rsidP="002258D8">
      <w:pPr>
        <w:ind w:firstLineChars="200" w:firstLine="480"/>
        <w:rPr>
          <w:rFonts w:ascii="楷体" w:eastAsia="楷体" w:hAnsi="楷体"/>
          <w:color w:val="161616"/>
          <w:sz w:val="24"/>
        </w:rPr>
      </w:pPr>
      <w:r>
        <w:rPr>
          <w:rFonts w:ascii="楷体" w:eastAsia="楷体" w:hAnsi="楷体" w:hint="eastAsia"/>
          <w:color w:val="161616"/>
          <w:sz w:val="24"/>
        </w:rPr>
        <w:t>马来西亚国家政府在城市大学设有“一带一路教育培训基金”专项用于一带一路的中马项目的大学生创新创业实践，马来西亚华人与华裔中小企业家集中团训以及中马院校国际交流学生与师资培训。</w:t>
      </w:r>
    </w:p>
    <w:p w:rsidR="00104D15" w:rsidRDefault="004A7A6D" w:rsidP="002258D8">
      <w:pPr>
        <w:pStyle w:val="a6"/>
        <w:widowControl/>
        <w:shd w:val="clear" w:color="auto" w:fill="FFFFFF"/>
        <w:spacing w:beforeAutospacing="0" w:afterAutospacing="0"/>
        <w:ind w:firstLineChars="200" w:firstLine="480"/>
        <w:rPr>
          <w:rFonts w:ascii="楷体" w:eastAsia="楷体" w:hAnsi="楷体"/>
          <w:color w:val="161616"/>
        </w:rPr>
      </w:pPr>
      <w:r>
        <w:rPr>
          <w:rFonts w:ascii="楷体" w:eastAsia="楷体" w:hAnsi="楷体" w:hint="eastAsia"/>
          <w:color w:val="161616"/>
        </w:rPr>
        <w:t>大学设有吉隆坡和新山校区，其中吉隆坡国际校区位于位于马来西亚首都吉隆坡的八打灵再也联邦大道战略心脏地带，交通与生活便利，主要住宅与商业区域遍布校园周边，轻松享受首都的轻快铁(LRT)服务、公共巴士、银行、餐厅、购物商场所等。</w:t>
      </w:r>
      <w:bookmarkStart w:id="3" w:name="OLE_LINK20"/>
      <w:bookmarkStart w:id="4" w:name="OLE_LINK19"/>
    </w:p>
    <w:bookmarkEnd w:id="3"/>
    <w:bookmarkEnd w:id="4"/>
    <w:p w:rsidR="00104D15" w:rsidRDefault="004A7A6D" w:rsidP="002258D8">
      <w:pPr>
        <w:pStyle w:val="a6"/>
        <w:widowControl/>
        <w:shd w:val="clear" w:color="auto" w:fill="FFFFFF"/>
        <w:spacing w:beforeAutospacing="0" w:afterAutospacing="0"/>
        <w:ind w:firstLineChars="200" w:firstLine="480"/>
        <w:rPr>
          <w:rFonts w:ascii="楷体" w:eastAsia="楷体" w:hAnsi="楷体" w:cs="楷体"/>
        </w:rPr>
      </w:pPr>
      <w:r>
        <w:rPr>
          <w:rFonts w:ascii="楷体" w:eastAsia="楷体" w:hAnsi="楷体" w:hint="eastAsia"/>
          <w:color w:val="161616"/>
        </w:rPr>
        <w:t>大学现有在校生近6000名，来自马来西亚，印度、中国、丹麦、印尼、泰国、韩国、日本、沙特阿拉伯、阿联酋、哈萨克斯坦、越南和非洲等40多个国家和地区的</w:t>
      </w:r>
      <w:bookmarkEnd w:id="0"/>
      <w:bookmarkEnd w:id="1"/>
      <w:bookmarkEnd w:id="2"/>
      <w:r>
        <w:rPr>
          <w:rFonts w:ascii="楷体" w:eastAsia="楷体" w:hAnsi="楷体" w:hint="eastAsia"/>
          <w:color w:val="161616"/>
        </w:rPr>
        <w:t>，与暨南大学，广东药科大学、湖南城市学院，河南财经政法大学、</w:t>
      </w:r>
      <w:r>
        <w:rPr>
          <w:rFonts w:ascii="楷体" w:eastAsia="楷体" w:hAnsi="楷体" w:hint="eastAsia"/>
          <w:color w:val="161616"/>
        </w:rPr>
        <w:lastRenderedPageBreak/>
        <w:t>广州城市职业学院等</w:t>
      </w:r>
      <w:r>
        <w:rPr>
          <w:rFonts w:ascii="楷体" w:eastAsia="楷体" w:hAnsi="楷体" w:cs="楷体" w:hint="eastAsia"/>
        </w:rPr>
        <w:t>中国近50所本专科知名院校开展学生互换，专升本，合作办学等多种形式的交流与合作。</w:t>
      </w:r>
    </w:p>
    <w:p w:rsidR="00104D15" w:rsidRDefault="004A7A6D">
      <w:pPr>
        <w:rPr>
          <w:rFonts w:ascii="楷体" w:eastAsia="楷体" w:hAnsi="楷体" w:cs="楷体"/>
          <w:b/>
          <w:sz w:val="28"/>
          <w:szCs w:val="28"/>
        </w:rPr>
      </w:pPr>
      <w:r>
        <w:rPr>
          <w:rFonts w:ascii="楷体" w:eastAsia="楷体" w:hAnsi="楷体" w:cs="楷体" w:hint="eastAsia"/>
          <w:b/>
          <w:sz w:val="28"/>
          <w:szCs w:val="28"/>
        </w:rPr>
        <w:t>二、项目简介</w:t>
      </w:r>
    </w:p>
    <w:p w:rsidR="00104D15" w:rsidRPr="00B22B39" w:rsidRDefault="004A7A6D" w:rsidP="002258D8">
      <w:pPr>
        <w:ind w:firstLineChars="200" w:firstLine="480"/>
        <w:rPr>
          <w:rFonts w:ascii="楷体" w:eastAsia="楷体" w:hAnsi="楷体" w:cs="楷体"/>
          <w:color w:val="000000"/>
          <w:sz w:val="24"/>
          <w:szCs w:val="24"/>
        </w:rPr>
      </w:pPr>
      <w:r>
        <w:rPr>
          <w:rFonts w:ascii="楷体" w:eastAsia="楷体" w:hAnsi="楷体" w:cs="楷体"/>
          <w:color w:val="000000"/>
          <w:sz w:val="24"/>
          <w:szCs w:val="24"/>
        </w:rPr>
        <w:t>马来西亚城市大学与中国邵阳学院2018</w:t>
      </w:r>
      <w:r>
        <w:rPr>
          <w:rFonts w:ascii="楷体" w:eastAsia="楷体" w:hAnsi="楷体" w:cs="楷体" w:hint="eastAsia"/>
          <w:color w:val="000000"/>
          <w:sz w:val="24"/>
          <w:szCs w:val="24"/>
        </w:rPr>
        <w:t>年缔结友好院校协议；双方经协商，同意</w:t>
      </w:r>
      <w:r>
        <w:rPr>
          <w:rFonts w:ascii="楷体" w:eastAsia="楷体" w:hAnsi="楷体" w:cs="楷体"/>
          <w:color w:val="000000"/>
          <w:sz w:val="24"/>
          <w:szCs w:val="24"/>
        </w:rPr>
        <w:t>在互惠互利、共同发展的原则和前提下，促进中马两国人文教育交流，提升两校的国际化办学水平的基础上，开展博士培养合作项目。马来西亚城市大学</w:t>
      </w:r>
      <w:r>
        <w:rPr>
          <w:rFonts w:ascii="楷体" w:eastAsia="楷体" w:hAnsi="楷体" w:cs="楷体" w:hint="eastAsia"/>
          <w:color w:val="000000"/>
          <w:sz w:val="24"/>
          <w:szCs w:val="24"/>
        </w:rPr>
        <w:t>在</w:t>
      </w:r>
      <w:r>
        <w:rPr>
          <w:rFonts w:ascii="楷体" w:eastAsia="楷体" w:hAnsi="楷体" w:cs="楷体"/>
          <w:color w:val="000000"/>
          <w:sz w:val="24"/>
          <w:szCs w:val="24"/>
        </w:rPr>
        <w:t>符合条件下，接收由邵阳学院根据“公开，公平，公正”选送的优秀学生、教师前往马来西亚城市大学攻读博士学位</w:t>
      </w:r>
      <w:r>
        <w:rPr>
          <w:rFonts w:ascii="楷体" w:eastAsia="楷体" w:hAnsi="楷体" w:cs="楷体" w:hint="eastAsia"/>
          <w:color w:val="000000"/>
          <w:sz w:val="24"/>
          <w:szCs w:val="24"/>
        </w:rPr>
        <w:t>，对于品学兼优的，将提供奖学金。</w:t>
      </w:r>
    </w:p>
    <w:p w:rsidR="00104D15" w:rsidRDefault="004A7A6D">
      <w:pPr>
        <w:rPr>
          <w:rFonts w:ascii="楷体" w:eastAsia="楷体" w:hAnsi="楷体" w:cs="楷体"/>
          <w:b/>
          <w:sz w:val="28"/>
          <w:szCs w:val="28"/>
        </w:rPr>
      </w:pPr>
      <w:r>
        <w:rPr>
          <w:rFonts w:ascii="楷体" w:eastAsia="楷体" w:hAnsi="楷体" w:cs="楷体" w:hint="eastAsia"/>
          <w:b/>
          <w:sz w:val="28"/>
          <w:szCs w:val="28"/>
        </w:rPr>
        <w:t>三、培养类型与入学条件</w:t>
      </w:r>
    </w:p>
    <w:p w:rsidR="00104D15" w:rsidRDefault="002258D8">
      <w:pPr>
        <w:spacing w:line="360" w:lineRule="auto"/>
        <w:jc w:val="left"/>
      </w:pPr>
      <w:bookmarkStart w:id="5" w:name="_Hlk9498281"/>
      <w:r>
        <w:rPr>
          <w:rFonts w:ascii="楷体" w:eastAsia="楷体" w:hAnsi="楷体" w:cs="楷体" w:hint="eastAsia"/>
          <w:b/>
          <w:bCs/>
          <w:color w:val="000000"/>
          <w:sz w:val="24"/>
          <w:szCs w:val="24"/>
        </w:rPr>
        <w:t xml:space="preserve"> </w:t>
      </w:r>
      <w:r w:rsidR="004A7A6D">
        <w:rPr>
          <w:rFonts w:ascii="楷体" w:eastAsia="楷体" w:hAnsi="楷体" w:cs="楷体" w:hint="eastAsia"/>
          <w:b/>
          <w:bCs/>
          <w:color w:val="000000"/>
          <w:sz w:val="24"/>
          <w:szCs w:val="24"/>
        </w:rPr>
        <w:t>“</w:t>
      </w:r>
      <w:r w:rsidR="004A7A6D">
        <w:rPr>
          <w:rFonts w:ascii="楷体" w:eastAsia="楷体" w:hAnsi="楷体" w:cs="楷体"/>
          <w:b/>
          <w:bCs/>
          <w:color w:val="000000"/>
          <w:sz w:val="24"/>
          <w:szCs w:val="24"/>
          <w:u w:val="single"/>
        </w:rPr>
        <w:t>在职教</w:t>
      </w:r>
      <w:r w:rsidR="004A7A6D">
        <w:rPr>
          <w:rFonts w:ascii="楷体" w:eastAsia="楷体" w:hAnsi="楷体" w:cs="楷体" w:hint="eastAsia"/>
          <w:b/>
          <w:bCs/>
          <w:color w:val="000000"/>
          <w:sz w:val="24"/>
          <w:szCs w:val="24"/>
          <w:u w:val="single"/>
        </w:rPr>
        <w:t>师”提升型</w:t>
      </w:r>
      <w:r w:rsidR="004A7A6D">
        <w:rPr>
          <w:rFonts w:ascii="楷体" w:eastAsia="楷体" w:hAnsi="楷体" w:cs="楷体"/>
          <w:b/>
          <w:bCs/>
          <w:color w:val="000000"/>
          <w:sz w:val="24"/>
          <w:szCs w:val="24"/>
          <w:u w:val="single"/>
        </w:rPr>
        <w:t>博士</w:t>
      </w:r>
      <w:bookmarkEnd w:id="5"/>
    </w:p>
    <w:p w:rsidR="00104D15" w:rsidRDefault="004A7A6D">
      <w:pPr>
        <w:spacing w:line="360" w:lineRule="auto"/>
        <w:ind w:firstLineChars="100" w:firstLine="240"/>
        <w:jc w:val="left"/>
      </w:pPr>
      <w:r>
        <w:rPr>
          <w:rFonts w:ascii="楷体" w:eastAsia="楷体" w:hAnsi="楷体" w:cs="楷体"/>
          <w:color w:val="000000"/>
          <w:sz w:val="24"/>
          <w:szCs w:val="24"/>
        </w:rPr>
        <w:t>马来西亚城市大学在邵阳学院优秀在职教</w:t>
      </w:r>
      <w:r>
        <w:rPr>
          <w:rFonts w:ascii="楷体" w:eastAsia="楷体" w:hAnsi="楷体" w:cs="楷体" w:hint="eastAsia"/>
          <w:color w:val="000000"/>
          <w:sz w:val="24"/>
          <w:szCs w:val="24"/>
        </w:rPr>
        <w:t>师</w:t>
      </w:r>
      <w:r>
        <w:rPr>
          <w:rFonts w:ascii="楷体" w:eastAsia="楷体" w:hAnsi="楷体" w:cs="楷体"/>
          <w:color w:val="000000"/>
          <w:sz w:val="24"/>
          <w:szCs w:val="24"/>
        </w:rPr>
        <w:t>中，选拔优秀</w:t>
      </w:r>
      <w:r>
        <w:rPr>
          <w:rFonts w:ascii="楷体" w:eastAsia="楷体" w:hAnsi="楷体" w:cs="楷体" w:hint="eastAsia"/>
          <w:color w:val="000000"/>
          <w:sz w:val="24"/>
          <w:szCs w:val="24"/>
        </w:rPr>
        <w:t>教师</w:t>
      </w:r>
      <w:r>
        <w:rPr>
          <w:rFonts w:ascii="楷体" w:eastAsia="楷体" w:hAnsi="楷体" w:cs="楷体"/>
          <w:b/>
          <w:bCs/>
          <w:color w:val="000000"/>
          <w:sz w:val="24"/>
          <w:szCs w:val="24"/>
          <w:u w:val="single"/>
        </w:rPr>
        <w:t>8</w:t>
      </w:r>
      <w:r>
        <w:rPr>
          <w:rFonts w:ascii="楷体" w:eastAsia="楷体" w:hAnsi="楷体" w:cs="楷体"/>
          <w:color w:val="000000"/>
          <w:sz w:val="24"/>
          <w:szCs w:val="24"/>
        </w:rPr>
        <w:t>名、录取为博士，学习3年，期满合格颁发博士学位。录取条件：</w:t>
      </w:r>
    </w:p>
    <w:p w:rsidR="00104D15" w:rsidRDefault="004A7A6D">
      <w:pPr>
        <w:spacing w:line="360" w:lineRule="auto"/>
        <w:ind w:firstLineChars="100" w:firstLine="240"/>
        <w:jc w:val="left"/>
        <w:rPr>
          <w:rFonts w:ascii="楷体" w:eastAsia="楷体" w:hAnsi="楷体" w:cs="楷体"/>
          <w:color w:val="000000"/>
          <w:sz w:val="24"/>
          <w:szCs w:val="24"/>
        </w:rPr>
      </w:pPr>
      <w:r>
        <w:rPr>
          <w:rFonts w:ascii="楷体" w:eastAsia="楷体" w:hAnsi="楷体" w:cs="楷体"/>
          <w:color w:val="000000"/>
          <w:sz w:val="24"/>
          <w:szCs w:val="24"/>
        </w:rPr>
        <w:t>1）、硕士学位或者毕业证</w:t>
      </w:r>
      <w:r>
        <w:rPr>
          <w:rFonts w:ascii="楷体" w:eastAsia="楷体" w:hAnsi="楷体" w:cs="楷体" w:hint="eastAsia"/>
          <w:color w:val="000000"/>
          <w:sz w:val="24"/>
          <w:szCs w:val="24"/>
        </w:rPr>
        <w:t>；</w:t>
      </w:r>
    </w:p>
    <w:p w:rsidR="00104D15" w:rsidRDefault="004A7A6D">
      <w:pPr>
        <w:spacing w:line="360" w:lineRule="auto"/>
        <w:ind w:firstLineChars="100" w:firstLine="240"/>
        <w:jc w:val="left"/>
        <w:rPr>
          <w:rFonts w:ascii="楷体" w:eastAsia="楷体" w:hAnsi="楷体" w:cs="楷体"/>
          <w:color w:val="000000"/>
          <w:sz w:val="24"/>
          <w:szCs w:val="24"/>
        </w:rPr>
      </w:pPr>
      <w:r>
        <w:rPr>
          <w:rFonts w:ascii="楷体" w:eastAsia="楷体" w:hAnsi="楷体" w:cs="楷体"/>
          <w:color w:val="000000"/>
          <w:sz w:val="24"/>
          <w:szCs w:val="24"/>
        </w:rPr>
        <w:t>2）、博士研究计划；</w:t>
      </w:r>
    </w:p>
    <w:p w:rsidR="00104D15" w:rsidRDefault="004A7A6D">
      <w:pPr>
        <w:spacing w:line="360" w:lineRule="auto"/>
        <w:ind w:firstLineChars="100" w:firstLine="240"/>
        <w:jc w:val="left"/>
      </w:pPr>
      <w:r>
        <w:rPr>
          <w:rFonts w:ascii="楷体" w:eastAsia="楷体" w:hAnsi="楷体" w:cs="楷体"/>
          <w:color w:val="000000"/>
          <w:sz w:val="24"/>
          <w:szCs w:val="24"/>
        </w:rPr>
        <w:t xml:space="preserve">3）、GPA3.0； </w:t>
      </w:r>
    </w:p>
    <w:p w:rsidR="00104D15" w:rsidRDefault="004A7A6D">
      <w:pPr>
        <w:spacing w:line="360" w:lineRule="auto"/>
        <w:ind w:firstLineChars="100" w:firstLine="240"/>
        <w:jc w:val="left"/>
        <w:rPr>
          <w:rFonts w:ascii="楷体" w:eastAsia="楷体" w:hAnsi="楷体" w:cs="楷体"/>
          <w:color w:val="000000"/>
          <w:sz w:val="24"/>
          <w:szCs w:val="24"/>
        </w:rPr>
      </w:pPr>
      <w:r>
        <w:rPr>
          <w:rFonts w:ascii="楷体" w:eastAsia="楷体" w:hAnsi="楷体" w:cs="楷体"/>
          <w:color w:val="000000"/>
          <w:sz w:val="24"/>
          <w:szCs w:val="24"/>
        </w:rPr>
        <w:t>4）、雅思6.5。</w:t>
      </w:r>
      <w:r>
        <w:rPr>
          <w:rFonts w:ascii="楷体" w:eastAsia="楷体" w:hAnsi="楷体" w:cs="楷体"/>
          <w:b/>
          <w:bCs/>
          <w:color w:val="000000"/>
          <w:sz w:val="18"/>
          <w:szCs w:val="18"/>
        </w:rPr>
        <w:t>注：语言入学时候不符合要求可以加读10个月语言课程</w:t>
      </w:r>
      <w:r>
        <w:rPr>
          <w:rFonts w:ascii="楷体" w:eastAsia="楷体" w:hAnsi="楷体" w:cs="楷体"/>
          <w:color w:val="000000"/>
          <w:sz w:val="24"/>
          <w:szCs w:val="24"/>
        </w:rPr>
        <w:t>。</w:t>
      </w:r>
    </w:p>
    <w:p w:rsidR="00104D15" w:rsidRDefault="004A7A6D">
      <w:pPr>
        <w:spacing w:line="360" w:lineRule="auto"/>
        <w:ind w:firstLineChars="100" w:firstLine="210"/>
        <w:jc w:val="left"/>
      </w:pPr>
      <w:r>
        <w:t>5)</w:t>
      </w:r>
      <w:r>
        <w:rPr>
          <w:rFonts w:hint="eastAsia"/>
        </w:rPr>
        <w:t>、</w:t>
      </w:r>
      <w:r>
        <w:rPr>
          <w:rFonts w:ascii="楷体" w:eastAsia="楷体" w:hAnsi="楷体" w:cs="楷体"/>
          <w:color w:val="000000"/>
          <w:sz w:val="24"/>
          <w:szCs w:val="24"/>
        </w:rPr>
        <w:t>教育学、信息技术、工商管理</w:t>
      </w:r>
      <w:r>
        <w:rPr>
          <w:rFonts w:ascii="楷体" w:eastAsia="楷体" w:hAnsi="楷体" w:cs="楷体" w:hint="eastAsia"/>
          <w:color w:val="000000"/>
          <w:sz w:val="24"/>
          <w:szCs w:val="24"/>
        </w:rPr>
        <w:t>相同或相关专业。</w:t>
      </w:r>
    </w:p>
    <w:p w:rsidR="00104D15" w:rsidRDefault="004A7A6D">
      <w:pPr>
        <w:spacing w:line="360" w:lineRule="auto"/>
        <w:jc w:val="left"/>
      </w:pPr>
      <w:r>
        <w:rPr>
          <w:rFonts w:ascii="楷体" w:eastAsia="楷体" w:hAnsi="楷体" w:cs="楷体" w:hint="eastAsia"/>
          <w:b/>
          <w:bCs/>
          <w:color w:val="000000"/>
          <w:sz w:val="28"/>
          <w:szCs w:val="144"/>
        </w:rPr>
        <w:t>四、</w:t>
      </w:r>
      <w:r>
        <w:rPr>
          <w:rFonts w:ascii="楷体" w:eastAsia="楷体" w:hAnsi="楷体" w:cs="楷体"/>
          <w:b/>
          <w:bCs/>
          <w:color w:val="000000"/>
          <w:sz w:val="28"/>
          <w:szCs w:val="144"/>
        </w:rPr>
        <w:t>学制与学位</w:t>
      </w:r>
    </w:p>
    <w:p w:rsidR="00104D15" w:rsidRDefault="004A7A6D">
      <w:pPr>
        <w:spacing w:line="360" w:lineRule="auto"/>
        <w:ind w:firstLineChars="100" w:firstLine="240"/>
        <w:jc w:val="left"/>
      </w:pPr>
      <w:r>
        <w:rPr>
          <w:rFonts w:ascii="楷体" w:eastAsia="楷体" w:hAnsi="楷体" w:cs="楷体"/>
          <w:color w:val="000000"/>
          <w:sz w:val="24"/>
          <w:szCs w:val="24"/>
        </w:rPr>
        <w:t>全日制3年（需累计在马来西亚城市大学全日制就读</w:t>
      </w:r>
      <w:r>
        <w:rPr>
          <w:rFonts w:ascii="楷体" w:eastAsia="楷体" w:hAnsi="楷体" w:cs="楷体" w:hint="eastAsia"/>
          <w:color w:val="000000"/>
          <w:sz w:val="24"/>
          <w:szCs w:val="24"/>
        </w:rPr>
        <w:t>不少于</w:t>
      </w:r>
      <w:r>
        <w:rPr>
          <w:rFonts w:ascii="楷体" w:eastAsia="楷体" w:hAnsi="楷体" w:cs="楷体"/>
          <w:color w:val="000000"/>
          <w:sz w:val="24"/>
          <w:szCs w:val="24"/>
        </w:rPr>
        <w:t>12个月）</w:t>
      </w:r>
    </w:p>
    <w:p w:rsidR="00104D15" w:rsidRDefault="004A7A6D">
      <w:pPr>
        <w:spacing w:line="360" w:lineRule="auto"/>
        <w:ind w:firstLineChars="100" w:firstLine="240"/>
        <w:jc w:val="left"/>
      </w:pPr>
      <w:r>
        <w:rPr>
          <w:rFonts w:ascii="楷体" w:eastAsia="楷体" w:hAnsi="楷体" w:cs="楷体"/>
          <w:color w:val="000000"/>
          <w:sz w:val="24"/>
          <w:szCs w:val="24"/>
        </w:rPr>
        <w:t>学习期满，符合博士毕业与学位颁发条件，颁发马来西亚城市大学博士(PHD)学位。</w:t>
      </w:r>
    </w:p>
    <w:p w:rsidR="00104D15" w:rsidRDefault="004A7A6D">
      <w:pPr>
        <w:spacing w:line="360" w:lineRule="auto"/>
        <w:jc w:val="left"/>
        <w:rPr>
          <w:rFonts w:ascii="楷体" w:eastAsia="楷体" w:hAnsi="楷体" w:cs="楷体"/>
          <w:b/>
          <w:bCs/>
          <w:color w:val="000000"/>
          <w:sz w:val="28"/>
          <w:szCs w:val="144"/>
        </w:rPr>
      </w:pPr>
      <w:r>
        <w:rPr>
          <w:rFonts w:ascii="楷体" w:eastAsia="楷体" w:hAnsi="楷体" w:cs="楷体" w:hint="eastAsia"/>
          <w:b/>
          <w:bCs/>
          <w:color w:val="000000"/>
          <w:sz w:val="28"/>
          <w:szCs w:val="144"/>
        </w:rPr>
        <w:t>五、学费</w:t>
      </w:r>
      <w:r>
        <w:rPr>
          <w:rFonts w:ascii="楷体" w:eastAsia="楷体" w:hAnsi="楷体" w:cs="楷体"/>
          <w:b/>
          <w:bCs/>
          <w:color w:val="000000"/>
          <w:sz w:val="28"/>
          <w:szCs w:val="144"/>
        </w:rPr>
        <w:t>,奖学金</w:t>
      </w:r>
      <w:r>
        <w:rPr>
          <w:rFonts w:ascii="楷体" w:eastAsia="楷体" w:hAnsi="楷体" w:cs="楷体" w:hint="eastAsia"/>
          <w:b/>
          <w:bCs/>
          <w:color w:val="000000"/>
          <w:sz w:val="28"/>
          <w:szCs w:val="144"/>
        </w:rPr>
        <w:t>与相关费用</w:t>
      </w:r>
    </w:p>
    <w:tbl>
      <w:tblPr>
        <w:tblStyle w:val="a7"/>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2268"/>
        <w:gridCol w:w="4111"/>
      </w:tblGrid>
      <w:tr w:rsidR="002258D8" w:rsidTr="002258D8">
        <w:trPr>
          <w:trHeight w:val="628"/>
        </w:trPr>
        <w:tc>
          <w:tcPr>
            <w:tcW w:w="2518" w:type="dxa"/>
            <w:tcBorders>
              <w:top w:val="single" w:sz="4" w:space="0" w:color="auto"/>
              <w:left w:val="single" w:sz="4" w:space="0" w:color="auto"/>
              <w:bottom w:val="single" w:sz="4" w:space="0" w:color="auto"/>
              <w:right w:val="single" w:sz="4" w:space="0" w:color="auto"/>
            </w:tcBorders>
          </w:tcPr>
          <w:p w:rsidR="002258D8" w:rsidRDefault="002258D8" w:rsidP="002258D8">
            <w:pPr>
              <w:spacing w:line="360" w:lineRule="auto"/>
              <w:jc w:val="center"/>
              <w:rPr>
                <w:rFonts w:ascii="楷体" w:eastAsia="楷体" w:hAnsi="楷体" w:cs="楷体"/>
                <w:b/>
                <w:bCs/>
                <w:color w:val="000000"/>
                <w:sz w:val="28"/>
                <w:szCs w:val="144"/>
              </w:rPr>
            </w:pPr>
            <w:r>
              <w:rPr>
                <w:rFonts w:ascii="楷体" w:eastAsia="楷体" w:hAnsi="楷体" w:cs="楷体" w:hint="eastAsia"/>
                <w:b/>
                <w:bCs/>
                <w:color w:val="000000"/>
                <w:sz w:val="28"/>
                <w:szCs w:val="144"/>
              </w:rPr>
              <w:lastRenderedPageBreak/>
              <w:t>类型</w:t>
            </w:r>
          </w:p>
        </w:tc>
        <w:tc>
          <w:tcPr>
            <w:tcW w:w="2268" w:type="dxa"/>
            <w:tcBorders>
              <w:top w:val="single" w:sz="4" w:space="0" w:color="auto"/>
              <w:left w:val="single" w:sz="4" w:space="0" w:color="auto"/>
              <w:bottom w:val="single" w:sz="4" w:space="0" w:color="auto"/>
              <w:right w:val="single" w:sz="4" w:space="0" w:color="auto"/>
            </w:tcBorders>
          </w:tcPr>
          <w:p w:rsidR="002258D8" w:rsidRDefault="002258D8" w:rsidP="002258D8">
            <w:pPr>
              <w:spacing w:line="360" w:lineRule="auto"/>
              <w:jc w:val="center"/>
              <w:rPr>
                <w:rFonts w:ascii="楷体" w:eastAsia="楷体" w:hAnsi="楷体" w:cs="楷体"/>
                <w:b/>
                <w:bCs/>
                <w:color w:val="000000"/>
                <w:sz w:val="28"/>
                <w:szCs w:val="144"/>
              </w:rPr>
            </w:pPr>
            <w:r>
              <w:rPr>
                <w:rFonts w:ascii="楷体" w:eastAsia="楷体" w:hAnsi="楷体" w:cs="楷体"/>
                <w:b/>
                <w:bCs/>
                <w:color w:val="000000"/>
                <w:sz w:val="28"/>
                <w:szCs w:val="144"/>
              </w:rPr>
              <w:t>费用</w:t>
            </w:r>
          </w:p>
        </w:tc>
        <w:tc>
          <w:tcPr>
            <w:tcW w:w="4111" w:type="dxa"/>
            <w:tcBorders>
              <w:top w:val="single" w:sz="4" w:space="0" w:color="auto"/>
              <w:left w:val="single" w:sz="4" w:space="0" w:color="auto"/>
              <w:bottom w:val="single" w:sz="4" w:space="0" w:color="auto"/>
              <w:right w:val="single" w:sz="4" w:space="0" w:color="auto"/>
            </w:tcBorders>
          </w:tcPr>
          <w:p w:rsidR="002258D8" w:rsidRDefault="002258D8" w:rsidP="002258D8">
            <w:pPr>
              <w:spacing w:line="360" w:lineRule="auto"/>
              <w:jc w:val="center"/>
              <w:rPr>
                <w:rFonts w:ascii="楷体" w:eastAsia="楷体" w:hAnsi="楷体" w:cs="楷体"/>
                <w:b/>
                <w:bCs/>
                <w:color w:val="000000"/>
                <w:sz w:val="28"/>
                <w:szCs w:val="144"/>
              </w:rPr>
            </w:pPr>
            <w:r>
              <w:rPr>
                <w:rFonts w:ascii="楷体" w:eastAsia="楷体" w:hAnsi="楷体" w:cs="楷体" w:hint="eastAsia"/>
                <w:b/>
                <w:bCs/>
                <w:color w:val="000000"/>
                <w:sz w:val="28"/>
                <w:szCs w:val="144"/>
              </w:rPr>
              <w:t>备注</w:t>
            </w:r>
          </w:p>
        </w:tc>
      </w:tr>
      <w:tr w:rsidR="002258D8" w:rsidTr="002258D8">
        <w:tc>
          <w:tcPr>
            <w:tcW w:w="2518" w:type="dxa"/>
            <w:tcBorders>
              <w:top w:val="single" w:sz="4" w:space="0" w:color="auto"/>
              <w:left w:val="single" w:sz="4" w:space="0" w:color="auto"/>
              <w:bottom w:val="single" w:sz="4" w:space="0" w:color="auto"/>
              <w:right w:val="single" w:sz="4" w:space="0" w:color="auto"/>
            </w:tcBorders>
          </w:tcPr>
          <w:p w:rsidR="002258D8" w:rsidRDefault="002258D8" w:rsidP="002258D8">
            <w:pPr>
              <w:spacing w:line="360" w:lineRule="auto"/>
              <w:jc w:val="center"/>
              <w:rPr>
                <w:rFonts w:ascii="楷体" w:eastAsia="楷体" w:hAnsi="楷体" w:cs="楷体"/>
                <w:b/>
                <w:bCs/>
                <w:color w:val="000000"/>
                <w:sz w:val="28"/>
                <w:szCs w:val="144"/>
              </w:rPr>
            </w:pPr>
            <w:r>
              <w:rPr>
                <w:rFonts w:ascii="楷体" w:eastAsia="楷体" w:hAnsi="楷体" w:cs="楷体" w:hint="eastAsia"/>
                <w:b/>
                <w:bCs/>
                <w:color w:val="000000"/>
                <w:sz w:val="28"/>
                <w:szCs w:val="144"/>
              </w:rPr>
              <w:t>博士学费</w:t>
            </w:r>
          </w:p>
        </w:tc>
        <w:tc>
          <w:tcPr>
            <w:tcW w:w="2268" w:type="dxa"/>
            <w:tcBorders>
              <w:top w:val="single" w:sz="4" w:space="0" w:color="auto"/>
              <w:left w:val="single" w:sz="4" w:space="0" w:color="auto"/>
              <w:bottom w:val="single" w:sz="4" w:space="0" w:color="auto"/>
              <w:right w:val="single" w:sz="4" w:space="0" w:color="auto"/>
            </w:tcBorders>
          </w:tcPr>
          <w:p w:rsidR="002258D8" w:rsidRDefault="002258D8" w:rsidP="002258D8">
            <w:pPr>
              <w:spacing w:line="360" w:lineRule="auto"/>
              <w:jc w:val="center"/>
              <w:rPr>
                <w:rFonts w:ascii="楷体" w:eastAsia="楷体" w:hAnsi="楷体" w:cs="楷体"/>
                <w:b/>
                <w:bCs/>
                <w:color w:val="000000"/>
                <w:sz w:val="28"/>
                <w:szCs w:val="144"/>
              </w:rPr>
            </w:pPr>
            <w:r>
              <w:rPr>
                <w:rFonts w:ascii="楷体" w:eastAsia="楷体" w:hAnsi="楷体" w:cs="楷体"/>
                <w:b/>
                <w:bCs/>
                <w:color w:val="000000"/>
                <w:sz w:val="28"/>
                <w:szCs w:val="144"/>
              </w:rPr>
              <w:t>150000</w:t>
            </w:r>
          </w:p>
        </w:tc>
        <w:tc>
          <w:tcPr>
            <w:tcW w:w="4111" w:type="dxa"/>
            <w:tcBorders>
              <w:top w:val="single" w:sz="4" w:space="0" w:color="auto"/>
              <w:left w:val="single" w:sz="4" w:space="0" w:color="auto"/>
              <w:bottom w:val="single" w:sz="4" w:space="0" w:color="auto"/>
              <w:right w:val="single" w:sz="4" w:space="0" w:color="auto"/>
            </w:tcBorders>
          </w:tcPr>
          <w:p w:rsidR="002258D8" w:rsidRDefault="002258D8" w:rsidP="002258D8">
            <w:pPr>
              <w:spacing w:line="360" w:lineRule="auto"/>
              <w:jc w:val="center"/>
              <w:rPr>
                <w:rFonts w:ascii="楷体" w:eastAsia="楷体" w:hAnsi="楷体" w:cs="楷体"/>
                <w:b/>
                <w:bCs/>
                <w:color w:val="000000"/>
                <w:sz w:val="28"/>
                <w:szCs w:val="144"/>
              </w:rPr>
            </w:pPr>
          </w:p>
        </w:tc>
      </w:tr>
      <w:tr w:rsidR="002258D8" w:rsidTr="002258D8">
        <w:trPr>
          <w:trHeight w:val="477"/>
        </w:trPr>
        <w:tc>
          <w:tcPr>
            <w:tcW w:w="2518" w:type="dxa"/>
            <w:tcBorders>
              <w:top w:val="single" w:sz="4" w:space="0" w:color="auto"/>
              <w:left w:val="single" w:sz="4" w:space="0" w:color="auto"/>
              <w:bottom w:val="single" w:sz="4" w:space="0" w:color="auto"/>
              <w:right w:val="single" w:sz="4" w:space="0" w:color="auto"/>
            </w:tcBorders>
          </w:tcPr>
          <w:p w:rsidR="002258D8" w:rsidRDefault="002258D8" w:rsidP="002258D8">
            <w:pPr>
              <w:spacing w:line="360" w:lineRule="auto"/>
              <w:jc w:val="center"/>
              <w:rPr>
                <w:rFonts w:ascii="楷体" w:eastAsia="楷体" w:hAnsi="楷体" w:cs="楷体"/>
                <w:b/>
                <w:bCs/>
                <w:color w:val="000000"/>
                <w:sz w:val="28"/>
                <w:szCs w:val="144"/>
              </w:rPr>
            </w:pPr>
            <w:r>
              <w:rPr>
                <w:rFonts w:ascii="楷体" w:eastAsia="楷体" w:hAnsi="楷体" w:cs="楷体" w:hint="eastAsia"/>
                <w:b/>
                <w:bCs/>
                <w:color w:val="000000"/>
                <w:sz w:val="28"/>
                <w:szCs w:val="144"/>
              </w:rPr>
              <w:t>签证注册费</w:t>
            </w:r>
          </w:p>
        </w:tc>
        <w:tc>
          <w:tcPr>
            <w:tcW w:w="2268" w:type="dxa"/>
            <w:tcBorders>
              <w:top w:val="single" w:sz="4" w:space="0" w:color="auto"/>
              <w:left w:val="single" w:sz="4" w:space="0" w:color="auto"/>
              <w:bottom w:val="single" w:sz="4" w:space="0" w:color="auto"/>
              <w:right w:val="single" w:sz="4" w:space="0" w:color="auto"/>
            </w:tcBorders>
          </w:tcPr>
          <w:p w:rsidR="002258D8" w:rsidRDefault="002258D8" w:rsidP="002258D8">
            <w:pPr>
              <w:spacing w:line="360" w:lineRule="auto"/>
              <w:jc w:val="center"/>
              <w:rPr>
                <w:rFonts w:ascii="楷体" w:eastAsia="楷体" w:hAnsi="楷体" w:cs="楷体"/>
                <w:b/>
                <w:bCs/>
                <w:color w:val="000000"/>
                <w:sz w:val="28"/>
                <w:szCs w:val="144"/>
              </w:rPr>
            </w:pPr>
            <w:r>
              <w:rPr>
                <w:rFonts w:ascii="楷体" w:eastAsia="楷体" w:hAnsi="楷体" w:cs="楷体"/>
                <w:b/>
                <w:bCs/>
                <w:color w:val="000000"/>
                <w:sz w:val="28"/>
                <w:szCs w:val="144"/>
              </w:rPr>
              <w:t>6500</w:t>
            </w:r>
          </w:p>
        </w:tc>
        <w:tc>
          <w:tcPr>
            <w:tcW w:w="4111" w:type="dxa"/>
            <w:tcBorders>
              <w:top w:val="single" w:sz="4" w:space="0" w:color="auto"/>
              <w:left w:val="single" w:sz="4" w:space="0" w:color="auto"/>
              <w:bottom w:val="single" w:sz="4" w:space="0" w:color="auto"/>
              <w:right w:val="single" w:sz="4" w:space="0" w:color="auto"/>
            </w:tcBorders>
          </w:tcPr>
          <w:p w:rsidR="002258D8" w:rsidRDefault="002258D8" w:rsidP="002258D8">
            <w:pPr>
              <w:spacing w:line="360" w:lineRule="auto"/>
              <w:jc w:val="center"/>
              <w:rPr>
                <w:rFonts w:ascii="楷体" w:eastAsia="楷体" w:hAnsi="楷体" w:cs="楷体"/>
                <w:b/>
                <w:bCs/>
                <w:color w:val="000000"/>
                <w:sz w:val="28"/>
                <w:szCs w:val="144"/>
              </w:rPr>
            </w:pPr>
          </w:p>
        </w:tc>
      </w:tr>
      <w:tr w:rsidR="002258D8" w:rsidTr="002258D8">
        <w:trPr>
          <w:trHeight w:val="557"/>
        </w:trPr>
        <w:tc>
          <w:tcPr>
            <w:tcW w:w="2518" w:type="dxa"/>
            <w:tcBorders>
              <w:top w:val="single" w:sz="4" w:space="0" w:color="auto"/>
              <w:left w:val="single" w:sz="4" w:space="0" w:color="auto"/>
              <w:bottom w:val="single" w:sz="4" w:space="0" w:color="auto"/>
              <w:right w:val="single" w:sz="4" w:space="0" w:color="auto"/>
            </w:tcBorders>
          </w:tcPr>
          <w:p w:rsidR="002258D8" w:rsidRDefault="002258D8" w:rsidP="002258D8">
            <w:pPr>
              <w:spacing w:line="360" w:lineRule="auto"/>
              <w:jc w:val="center"/>
              <w:rPr>
                <w:rFonts w:ascii="楷体" w:eastAsia="楷体" w:hAnsi="楷体" w:cs="楷体"/>
                <w:b/>
                <w:bCs/>
                <w:color w:val="000000"/>
                <w:sz w:val="28"/>
                <w:szCs w:val="144"/>
              </w:rPr>
            </w:pPr>
            <w:r>
              <w:rPr>
                <w:rFonts w:ascii="楷体" w:eastAsia="楷体" w:hAnsi="楷体" w:cs="楷体" w:hint="eastAsia"/>
                <w:b/>
                <w:bCs/>
                <w:color w:val="000000"/>
                <w:sz w:val="28"/>
                <w:szCs w:val="144"/>
              </w:rPr>
              <w:t>语言费用</w:t>
            </w:r>
          </w:p>
        </w:tc>
        <w:tc>
          <w:tcPr>
            <w:tcW w:w="2268" w:type="dxa"/>
            <w:tcBorders>
              <w:top w:val="single" w:sz="4" w:space="0" w:color="auto"/>
              <w:left w:val="single" w:sz="4" w:space="0" w:color="auto"/>
              <w:bottom w:val="single" w:sz="4" w:space="0" w:color="auto"/>
              <w:right w:val="single" w:sz="4" w:space="0" w:color="auto"/>
            </w:tcBorders>
          </w:tcPr>
          <w:p w:rsidR="002258D8" w:rsidRDefault="002258D8" w:rsidP="002258D8">
            <w:pPr>
              <w:spacing w:line="360" w:lineRule="auto"/>
              <w:jc w:val="center"/>
              <w:rPr>
                <w:rFonts w:ascii="楷体" w:eastAsia="楷体" w:hAnsi="楷体" w:cs="楷体"/>
                <w:b/>
                <w:bCs/>
                <w:color w:val="000000"/>
                <w:sz w:val="28"/>
                <w:szCs w:val="144"/>
              </w:rPr>
            </w:pPr>
            <w:r>
              <w:rPr>
                <w:rFonts w:ascii="楷体" w:eastAsia="楷体" w:hAnsi="楷体" w:cs="楷体"/>
                <w:b/>
                <w:bCs/>
                <w:color w:val="000000"/>
                <w:sz w:val="28"/>
                <w:szCs w:val="144"/>
              </w:rPr>
              <w:t>13200</w:t>
            </w:r>
          </w:p>
        </w:tc>
        <w:tc>
          <w:tcPr>
            <w:tcW w:w="4111" w:type="dxa"/>
            <w:tcBorders>
              <w:top w:val="single" w:sz="4" w:space="0" w:color="auto"/>
              <w:left w:val="single" w:sz="4" w:space="0" w:color="auto"/>
              <w:bottom w:val="single" w:sz="4" w:space="0" w:color="auto"/>
              <w:right w:val="single" w:sz="4" w:space="0" w:color="auto"/>
            </w:tcBorders>
          </w:tcPr>
          <w:p w:rsidR="002258D8" w:rsidRDefault="002258D8" w:rsidP="002258D8">
            <w:pPr>
              <w:spacing w:line="360" w:lineRule="auto"/>
              <w:jc w:val="center"/>
              <w:rPr>
                <w:rFonts w:ascii="楷体" w:eastAsia="楷体" w:hAnsi="楷体" w:cs="楷体"/>
                <w:b/>
                <w:bCs/>
                <w:color w:val="000000"/>
                <w:sz w:val="24"/>
                <w:szCs w:val="24"/>
              </w:rPr>
            </w:pPr>
            <w:r>
              <w:rPr>
                <w:rFonts w:ascii="楷体" w:eastAsia="楷体" w:hAnsi="楷体" w:cs="楷体" w:hint="eastAsia"/>
                <w:b/>
                <w:bCs/>
                <w:color w:val="000000"/>
                <w:sz w:val="24"/>
                <w:szCs w:val="24"/>
              </w:rPr>
              <w:t>语言不符合要求，需要加读</w:t>
            </w:r>
            <w:r>
              <w:rPr>
                <w:rFonts w:ascii="楷体" w:eastAsia="楷体" w:hAnsi="楷体" w:cs="楷体"/>
                <w:b/>
                <w:bCs/>
                <w:color w:val="000000"/>
                <w:sz w:val="24"/>
                <w:szCs w:val="24"/>
              </w:rPr>
              <w:t>10</w:t>
            </w:r>
            <w:r>
              <w:rPr>
                <w:rFonts w:ascii="楷体" w:eastAsia="楷体" w:hAnsi="楷体" w:cs="楷体" w:hint="eastAsia"/>
                <w:b/>
                <w:bCs/>
                <w:color w:val="000000"/>
                <w:sz w:val="24"/>
                <w:szCs w:val="24"/>
              </w:rPr>
              <w:t>个月</w:t>
            </w:r>
          </w:p>
        </w:tc>
      </w:tr>
      <w:tr w:rsidR="002258D8" w:rsidTr="002258D8">
        <w:trPr>
          <w:trHeight w:val="495"/>
        </w:trPr>
        <w:tc>
          <w:tcPr>
            <w:tcW w:w="2518" w:type="dxa"/>
            <w:tcBorders>
              <w:top w:val="single" w:sz="4" w:space="0" w:color="auto"/>
              <w:left w:val="single" w:sz="4" w:space="0" w:color="auto"/>
              <w:bottom w:val="single" w:sz="4" w:space="0" w:color="auto"/>
              <w:right w:val="single" w:sz="4" w:space="0" w:color="auto"/>
            </w:tcBorders>
          </w:tcPr>
          <w:p w:rsidR="002258D8" w:rsidRDefault="002258D8" w:rsidP="002258D8">
            <w:pPr>
              <w:spacing w:line="360" w:lineRule="auto"/>
              <w:jc w:val="center"/>
              <w:rPr>
                <w:rFonts w:ascii="楷体" w:eastAsia="楷体" w:hAnsi="楷体" w:cs="楷体"/>
                <w:b/>
                <w:bCs/>
                <w:color w:val="000000"/>
                <w:sz w:val="28"/>
                <w:szCs w:val="144"/>
              </w:rPr>
            </w:pPr>
            <w:r>
              <w:rPr>
                <w:rFonts w:ascii="楷体" w:eastAsia="楷体" w:hAnsi="楷体" w:cs="楷体" w:hint="eastAsia"/>
                <w:b/>
                <w:bCs/>
                <w:color w:val="000000"/>
                <w:sz w:val="28"/>
                <w:szCs w:val="144"/>
              </w:rPr>
              <w:t>项目服务费</w:t>
            </w:r>
          </w:p>
        </w:tc>
        <w:tc>
          <w:tcPr>
            <w:tcW w:w="2268" w:type="dxa"/>
            <w:tcBorders>
              <w:top w:val="single" w:sz="4" w:space="0" w:color="auto"/>
              <w:left w:val="single" w:sz="4" w:space="0" w:color="auto"/>
              <w:bottom w:val="single" w:sz="4" w:space="0" w:color="auto"/>
              <w:right w:val="single" w:sz="4" w:space="0" w:color="auto"/>
            </w:tcBorders>
          </w:tcPr>
          <w:p w:rsidR="002258D8" w:rsidRDefault="002258D8" w:rsidP="002258D8">
            <w:pPr>
              <w:spacing w:line="360" w:lineRule="auto"/>
              <w:jc w:val="center"/>
              <w:rPr>
                <w:rFonts w:ascii="楷体" w:eastAsia="楷体" w:hAnsi="楷体" w:cs="楷体"/>
                <w:b/>
                <w:bCs/>
                <w:color w:val="000000"/>
                <w:sz w:val="28"/>
                <w:szCs w:val="144"/>
              </w:rPr>
            </w:pPr>
            <w:r>
              <w:rPr>
                <w:rFonts w:ascii="楷体" w:eastAsia="楷体" w:hAnsi="楷体" w:cs="楷体"/>
                <w:b/>
                <w:bCs/>
                <w:color w:val="000000"/>
                <w:sz w:val="28"/>
                <w:szCs w:val="144"/>
              </w:rPr>
              <w:t>30000</w:t>
            </w:r>
          </w:p>
        </w:tc>
        <w:tc>
          <w:tcPr>
            <w:tcW w:w="4111" w:type="dxa"/>
            <w:tcBorders>
              <w:top w:val="single" w:sz="4" w:space="0" w:color="auto"/>
              <w:left w:val="single" w:sz="4" w:space="0" w:color="auto"/>
              <w:bottom w:val="single" w:sz="4" w:space="0" w:color="auto"/>
              <w:right w:val="single" w:sz="4" w:space="0" w:color="auto"/>
            </w:tcBorders>
          </w:tcPr>
          <w:p w:rsidR="002258D8" w:rsidRDefault="002258D8" w:rsidP="002258D8">
            <w:pPr>
              <w:spacing w:line="360" w:lineRule="auto"/>
              <w:jc w:val="center"/>
              <w:rPr>
                <w:rFonts w:ascii="楷体" w:eastAsia="楷体" w:hAnsi="楷体" w:cs="楷体"/>
                <w:b/>
                <w:bCs/>
                <w:color w:val="000000"/>
                <w:sz w:val="28"/>
                <w:szCs w:val="144"/>
              </w:rPr>
            </w:pPr>
          </w:p>
        </w:tc>
      </w:tr>
    </w:tbl>
    <w:p w:rsidR="00104D15" w:rsidRDefault="004A7A6D">
      <w:pPr>
        <w:spacing w:line="360" w:lineRule="auto"/>
        <w:jc w:val="left"/>
        <w:rPr>
          <w:rFonts w:ascii="楷体" w:eastAsia="楷体" w:hAnsi="楷体" w:cs="楷体"/>
          <w:b/>
          <w:bCs/>
          <w:color w:val="000000"/>
          <w:sz w:val="24"/>
          <w:szCs w:val="24"/>
        </w:rPr>
      </w:pPr>
      <w:r>
        <w:rPr>
          <w:rFonts w:ascii="楷体" w:eastAsia="楷体" w:hAnsi="楷体" w:cs="楷体" w:hint="eastAsia"/>
          <w:b/>
          <w:bCs/>
          <w:color w:val="000000"/>
          <w:sz w:val="24"/>
          <w:szCs w:val="24"/>
        </w:rPr>
        <w:t>备注</w:t>
      </w:r>
      <w:r>
        <w:rPr>
          <w:rFonts w:ascii="楷体" w:eastAsia="楷体" w:hAnsi="楷体" w:cs="楷体"/>
          <w:b/>
          <w:bCs/>
          <w:color w:val="000000"/>
          <w:sz w:val="24"/>
          <w:szCs w:val="24"/>
        </w:rPr>
        <w:t>:</w:t>
      </w:r>
    </w:p>
    <w:p w:rsidR="00104D15" w:rsidRDefault="004A7A6D">
      <w:pPr>
        <w:spacing w:line="360" w:lineRule="auto"/>
        <w:jc w:val="left"/>
      </w:pPr>
      <w:r>
        <w:rPr>
          <w:rFonts w:ascii="楷体" w:eastAsia="楷体" w:hAnsi="楷体" w:cs="楷体"/>
          <w:b/>
          <w:bCs/>
          <w:color w:val="000000"/>
          <w:sz w:val="24"/>
          <w:szCs w:val="24"/>
        </w:rPr>
        <w:t>1</w:t>
      </w:r>
      <w:r w:rsidR="002258D8">
        <w:rPr>
          <w:rFonts w:ascii="楷体" w:eastAsia="楷体" w:hAnsi="楷体" w:cs="楷体"/>
          <w:b/>
          <w:bCs/>
          <w:color w:val="000000"/>
          <w:sz w:val="24"/>
          <w:szCs w:val="24"/>
        </w:rPr>
        <w:t>.</w:t>
      </w:r>
      <w:r>
        <w:rPr>
          <w:rFonts w:ascii="楷体" w:eastAsia="楷体" w:hAnsi="楷体" w:cs="楷体" w:hint="eastAsia"/>
          <w:b/>
          <w:bCs/>
          <w:color w:val="000000"/>
          <w:sz w:val="24"/>
          <w:szCs w:val="24"/>
        </w:rPr>
        <w:t>上表所列学费是指博士阶段总学费，可以分两期缴纳。</w:t>
      </w:r>
    </w:p>
    <w:p w:rsidR="00104D15" w:rsidRDefault="002258D8">
      <w:pPr>
        <w:spacing w:line="360" w:lineRule="auto"/>
        <w:jc w:val="left"/>
        <w:rPr>
          <w:rFonts w:ascii="楷体" w:eastAsia="楷体" w:hAnsi="楷体" w:cs="楷体"/>
          <w:b/>
          <w:bCs/>
          <w:color w:val="000000"/>
          <w:sz w:val="28"/>
          <w:szCs w:val="144"/>
        </w:rPr>
      </w:pPr>
      <w:r>
        <w:rPr>
          <w:rFonts w:ascii="楷体" w:eastAsia="楷体" w:hAnsi="楷体" w:cs="楷体" w:hint="eastAsia"/>
          <w:b/>
          <w:bCs/>
          <w:color w:val="000000"/>
          <w:sz w:val="24"/>
          <w:szCs w:val="24"/>
        </w:rPr>
        <w:t>2</w:t>
      </w:r>
      <w:r w:rsidR="004A7A6D">
        <w:rPr>
          <w:rFonts w:ascii="楷体" w:eastAsia="楷体" w:hAnsi="楷体" w:cs="楷体"/>
          <w:b/>
          <w:bCs/>
          <w:color w:val="000000"/>
          <w:sz w:val="24"/>
          <w:szCs w:val="24"/>
        </w:rPr>
        <w:t>.</w:t>
      </w:r>
      <w:r w:rsidR="004A7A6D">
        <w:rPr>
          <w:rFonts w:ascii="楷体" w:eastAsia="楷体" w:hAnsi="楷体" w:cs="楷体" w:hint="eastAsia"/>
          <w:b/>
          <w:bCs/>
          <w:color w:val="000000"/>
          <w:sz w:val="24"/>
          <w:szCs w:val="24"/>
        </w:rPr>
        <w:t>以上费用单位为人民币元，均按照马币</w:t>
      </w:r>
      <w:r w:rsidR="004A7A6D">
        <w:rPr>
          <w:rFonts w:ascii="楷体" w:eastAsia="楷体" w:hAnsi="楷体" w:cs="楷体"/>
          <w:b/>
          <w:bCs/>
          <w:color w:val="000000"/>
          <w:sz w:val="24"/>
          <w:szCs w:val="24"/>
        </w:rPr>
        <w:t>:</w:t>
      </w:r>
      <w:r w:rsidR="004A7A6D">
        <w:rPr>
          <w:rFonts w:ascii="楷体" w:eastAsia="楷体" w:hAnsi="楷体" w:cs="楷体" w:hint="eastAsia"/>
          <w:b/>
          <w:bCs/>
          <w:color w:val="000000"/>
          <w:sz w:val="24"/>
          <w:szCs w:val="24"/>
        </w:rPr>
        <w:t>人民币</w:t>
      </w:r>
      <w:r w:rsidR="004A7A6D">
        <w:rPr>
          <w:rFonts w:ascii="楷体" w:eastAsia="楷体" w:hAnsi="楷体" w:cs="楷体"/>
          <w:b/>
          <w:bCs/>
          <w:color w:val="000000"/>
          <w:sz w:val="24"/>
          <w:szCs w:val="24"/>
        </w:rPr>
        <w:t>:1:6478</w:t>
      </w:r>
      <w:r w:rsidR="004A7A6D">
        <w:rPr>
          <w:rFonts w:ascii="楷体" w:eastAsia="楷体" w:hAnsi="楷体" w:cs="楷体" w:hint="eastAsia"/>
          <w:b/>
          <w:bCs/>
          <w:color w:val="000000"/>
          <w:sz w:val="24"/>
          <w:szCs w:val="24"/>
        </w:rPr>
        <w:t>计算。入学后涉及结算以实时汇款时汇率为准。</w:t>
      </w:r>
    </w:p>
    <w:p w:rsidR="00104D15" w:rsidRDefault="004A7A6D">
      <w:pPr>
        <w:spacing w:line="360" w:lineRule="auto"/>
        <w:jc w:val="left"/>
      </w:pPr>
      <w:r>
        <w:rPr>
          <w:rFonts w:ascii="楷体" w:eastAsia="楷体" w:hAnsi="楷体" w:cs="楷体" w:hint="eastAsia"/>
          <w:b/>
          <w:bCs/>
          <w:color w:val="000000"/>
          <w:sz w:val="28"/>
          <w:szCs w:val="144"/>
        </w:rPr>
        <w:t>六</w:t>
      </w:r>
      <w:r>
        <w:rPr>
          <w:rFonts w:ascii="楷体" w:eastAsia="楷体" w:hAnsi="楷体" w:cs="楷体"/>
          <w:b/>
          <w:bCs/>
          <w:color w:val="000000"/>
          <w:sz w:val="28"/>
          <w:szCs w:val="144"/>
        </w:rPr>
        <w:t>、报名</w:t>
      </w:r>
      <w:r>
        <w:rPr>
          <w:rFonts w:ascii="楷体" w:eastAsia="楷体" w:hAnsi="楷体" w:cs="楷体" w:hint="eastAsia"/>
          <w:b/>
          <w:bCs/>
          <w:color w:val="000000"/>
          <w:sz w:val="28"/>
          <w:szCs w:val="144"/>
        </w:rPr>
        <w:t>、录取、入学</w:t>
      </w:r>
      <w:r>
        <w:rPr>
          <w:rFonts w:ascii="楷体" w:eastAsia="楷体" w:hAnsi="楷体" w:cs="楷体"/>
          <w:b/>
          <w:bCs/>
          <w:color w:val="000000"/>
          <w:sz w:val="28"/>
          <w:szCs w:val="144"/>
        </w:rPr>
        <w:t>时间</w:t>
      </w:r>
    </w:p>
    <w:p w:rsidR="00104D15" w:rsidRDefault="004A7A6D">
      <w:pPr>
        <w:spacing w:line="360" w:lineRule="auto"/>
      </w:pPr>
      <w:r>
        <w:rPr>
          <w:rFonts w:ascii="楷体" w:eastAsia="楷体" w:hAnsi="楷体"/>
          <w:sz w:val="24"/>
        </w:rPr>
        <w:t>2019 年6月 30日截止报名，缴费；</w:t>
      </w:r>
    </w:p>
    <w:p w:rsidR="00104D15" w:rsidRDefault="004A7A6D">
      <w:pPr>
        <w:spacing w:line="360" w:lineRule="auto"/>
      </w:pPr>
      <w:r>
        <w:rPr>
          <w:rFonts w:ascii="楷体" w:eastAsia="楷体" w:hAnsi="楷体"/>
          <w:sz w:val="24"/>
        </w:rPr>
        <w:t>2019年7-8月收集整理材料，提交签证审核；</w:t>
      </w:r>
    </w:p>
    <w:p w:rsidR="00104D15" w:rsidRDefault="004A7A6D" w:rsidP="00F0092F">
      <w:pPr>
        <w:spacing w:line="360" w:lineRule="auto"/>
      </w:pPr>
      <w:r>
        <w:rPr>
          <w:rFonts w:ascii="楷体" w:eastAsia="楷体" w:hAnsi="楷体"/>
          <w:sz w:val="24"/>
        </w:rPr>
        <w:t>2019年9月前往马来西亚城市大学入读。</w:t>
      </w:r>
    </w:p>
    <w:sectPr w:rsidR="00104D15" w:rsidSect="00104D1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E8A" w:rsidRDefault="00226E8A" w:rsidP="00104D15">
      <w:r>
        <w:separator/>
      </w:r>
    </w:p>
  </w:endnote>
  <w:endnote w:type="continuationSeparator" w:id="1">
    <w:p w:rsidR="00226E8A" w:rsidRDefault="00226E8A" w:rsidP="00104D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6F" w:rsidRDefault="00C3386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D15" w:rsidRDefault="00104D15">
    <w:pPr>
      <w:pStyle w:val="a4"/>
      <w:jc w:val="center"/>
      <w:rPr>
        <w:b/>
        <w:b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6F" w:rsidRDefault="00C3386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E8A" w:rsidRDefault="00226E8A" w:rsidP="00104D15">
      <w:r>
        <w:separator/>
      </w:r>
    </w:p>
  </w:footnote>
  <w:footnote w:type="continuationSeparator" w:id="1">
    <w:p w:rsidR="00226E8A" w:rsidRDefault="00226E8A" w:rsidP="00104D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6F" w:rsidRDefault="00C3386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D15" w:rsidRPr="002258D8" w:rsidRDefault="004A7A6D" w:rsidP="00C3386F">
    <w:pPr>
      <w:pStyle w:val="a5"/>
      <w:pBdr>
        <w:bottom w:val="none" w:sz="0" w:space="0" w:color="auto"/>
      </w:pBdr>
      <w:jc w:val="left"/>
    </w:pPr>
    <w:r>
      <w:rPr>
        <w:rFonts w:ascii="幼圆" w:eastAsia="幼圆" w:hAnsi="幼圆" w:cs="幼圆" w:hint="eastAsia"/>
        <w:b/>
        <w:bCs/>
        <w:noProof/>
        <w:color w:val="0C0C0C"/>
        <w:sz w:val="32"/>
        <w:szCs w:val="32"/>
      </w:rPr>
      <w:drawing>
        <wp:anchor distT="0" distB="0" distL="114300" distR="114300" simplePos="0" relativeHeight="251657216" behindDoc="1" locked="0" layoutInCell="1" allowOverlap="1">
          <wp:simplePos x="0" y="0"/>
          <wp:positionH relativeFrom="column">
            <wp:posOffset>39370</wp:posOffset>
          </wp:positionH>
          <wp:positionV relativeFrom="paragraph">
            <wp:posOffset>-99695</wp:posOffset>
          </wp:positionV>
          <wp:extent cx="1306195" cy="505460"/>
          <wp:effectExtent l="0" t="0" r="46355" b="27940"/>
          <wp:wrapTight wrapText="bothSides">
            <wp:wrapPolygon edited="0">
              <wp:start x="0" y="0"/>
              <wp:lineTo x="0" y="20460"/>
              <wp:lineTo x="21421" y="20460"/>
              <wp:lineTo x="21421" y="0"/>
              <wp:lineTo x="0" y="0"/>
            </wp:wrapPolygon>
          </wp:wrapTight>
          <wp:docPr id="4097" name="图片 3"/>
          <wp:cNvGraphicFramePr/>
          <a:graphic xmlns:a="http://schemas.openxmlformats.org/drawingml/2006/main">
            <a:graphicData uri="http://schemas.openxmlformats.org/drawingml/2006/picture">
              <pic:pic xmlns:pic="http://schemas.openxmlformats.org/drawingml/2006/picture">
                <pic:nvPicPr>
                  <pic:cNvPr id="4097" name="图片 3"/>
                  <pic:cNvPicPr/>
                </pic:nvPicPr>
                <pic:blipFill>
                  <a:blip r:embed="rId1" cstate="print"/>
                  <a:srcRect/>
                  <a:stretch>
                    <a:fillRect/>
                  </a:stretch>
                </pic:blipFill>
                <pic:spPr>
                  <a:xfrm>
                    <a:off x="0" y="0"/>
                    <a:ext cx="1306195" cy="505460"/>
                  </a:xfrm>
                  <a:prstGeom prst="rect">
                    <a:avLst/>
                  </a:prstGeom>
                </pic:spPr>
              </pic:pic>
            </a:graphicData>
          </a:graphic>
        </wp:anchor>
      </w:drawing>
    </w:r>
    <w:r>
      <w:rPr>
        <w:rFonts w:ascii="楷体" w:eastAsia="楷体" w:hAnsi="楷体" w:cs="楷体" w:hint="eastAsia"/>
        <w:b/>
        <w:bCs/>
        <w:noProof/>
        <w:color w:val="0C0C0C"/>
        <w:sz w:val="36"/>
        <w:szCs w:val="36"/>
      </w:rPr>
      <w:drawing>
        <wp:anchor distT="0" distB="0" distL="114300" distR="114300" simplePos="0" relativeHeight="251658240" behindDoc="1" locked="0" layoutInCell="1" allowOverlap="1">
          <wp:simplePos x="0" y="0"/>
          <wp:positionH relativeFrom="column">
            <wp:posOffset>3824605</wp:posOffset>
          </wp:positionH>
          <wp:positionV relativeFrom="paragraph">
            <wp:posOffset>-17780</wp:posOffset>
          </wp:positionV>
          <wp:extent cx="1557020" cy="431165"/>
          <wp:effectExtent l="0" t="0" r="5080" b="6985"/>
          <wp:wrapTight wrapText="bothSides">
            <wp:wrapPolygon edited="0">
              <wp:start x="0" y="0"/>
              <wp:lineTo x="0" y="20996"/>
              <wp:lineTo x="21406" y="20996"/>
              <wp:lineTo x="21406" y="0"/>
              <wp:lineTo x="0" y="0"/>
            </wp:wrapPolygon>
          </wp:wrapTight>
          <wp:docPr id="4098" name="图片 2"/>
          <wp:cNvGraphicFramePr/>
          <a:graphic xmlns:a="http://schemas.openxmlformats.org/drawingml/2006/main">
            <a:graphicData uri="http://schemas.openxmlformats.org/drawingml/2006/picture">
              <pic:pic xmlns:pic="http://schemas.openxmlformats.org/drawingml/2006/picture">
                <pic:nvPicPr>
                  <pic:cNvPr id="4098" name="图片 2"/>
                  <pic:cNvPicPr/>
                </pic:nvPicPr>
                <pic:blipFill>
                  <a:blip r:embed="rId2" cstate="print"/>
                  <a:srcRect/>
                  <a:stretch>
                    <a:fillRect/>
                  </a:stretch>
                </pic:blipFill>
                <pic:spPr>
                  <a:xfrm>
                    <a:off x="0" y="0"/>
                    <a:ext cx="1557020" cy="431165"/>
                  </a:xfrm>
                  <a:prstGeom prst="rect">
                    <a:avLst/>
                  </a:prstGeom>
                </pic:spPr>
              </pic:pic>
            </a:graphicData>
          </a:graphic>
        </wp:anchor>
      </w:drawing>
    </w:r>
    <w:bookmarkStart w:id="6" w:name="_GoBack"/>
    <w:bookmarkEnd w:id="6"/>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6F" w:rsidRDefault="00C3386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4D15"/>
    <w:rsid w:val="00104D15"/>
    <w:rsid w:val="00220A93"/>
    <w:rsid w:val="002258D8"/>
    <w:rsid w:val="00226E8A"/>
    <w:rsid w:val="004A7A6D"/>
    <w:rsid w:val="00650279"/>
    <w:rsid w:val="008F0FD4"/>
    <w:rsid w:val="009017F5"/>
    <w:rsid w:val="009714AB"/>
    <w:rsid w:val="00B22B39"/>
    <w:rsid w:val="00B84B5D"/>
    <w:rsid w:val="00BC300D"/>
    <w:rsid w:val="00C3386F"/>
    <w:rsid w:val="00EC3072"/>
    <w:rsid w:val="00EF4569"/>
    <w:rsid w:val="00F0092F"/>
    <w:rsid w:val="36846D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Salutation"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D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qFormat/>
    <w:rsid w:val="00104D15"/>
    <w:rPr>
      <w:rFonts w:ascii="仿宋" w:eastAsia="仿宋" w:hAnsi="仿宋"/>
      <w:sz w:val="28"/>
      <w:szCs w:val="28"/>
    </w:rPr>
  </w:style>
  <w:style w:type="paragraph" w:styleId="a4">
    <w:name w:val="footer"/>
    <w:basedOn w:val="a"/>
    <w:qFormat/>
    <w:rsid w:val="00104D15"/>
    <w:pPr>
      <w:tabs>
        <w:tab w:val="center" w:pos="4153"/>
        <w:tab w:val="right" w:pos="8306"/>
      </w:tabs>
      <w:snapToGrid w:val="0"/>
      <w:jc w:val="left"/>
    </w:pPr>
    <w:rPr>
      <w:sz w:val="18"/>
    </w:rPr>
  </w:style>
  <w:style w:type="paragraph" w:styleId="a5">
    <w:name w:val="header"/>
    <w:basedOn w:val="a"/>
    <w:qFormat/>
    <w:rsid w:val="00104D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104D15"/>
    <w:pPr>
      <w:spacing w:beforeAutospacing="1" w:afterAutospacing="1"/>
    </w:pPr>
    <w:rPr>
      <w:rFonts w:cs="Times New Roman"/>
      <w:sz w:val="24"/>
      <w:szCs w:val="24"/>
    </w:rPr>
  </w:style>
  <w:style w:type="table" w:styleId="a7">
    <w:name w:val="Table Grid"/>
    <w:basedOn w:val="a1"/>
    <w:uiPriority w:val="59"/>
    <w:rsid w:val="00104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Medium Grid 3"/>
    <w:basedOn w:val="a1"/>
    <w:uiPriority w:val="69"/>
    <w:rsid w:val="00104D15"/>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808080"/>
      </w:tcPr>
    </w:tblStylePr>
  </w:style>
  <w:style w:type="table" w:styleId="3-1">
    <w:name w:val="Medium Grid 3 Accent 1"/>
    <w:basedOn w:val="a1"/>
    <w:uiPriority w:val="69"/>
    <w:rsid w:val="00104D15"/>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7BFDE"/>
      </w:tcPr>
    </w:tblStylePr>
  </w:style>
  <w:style w:type="table" w:styleId="3-2">
    <w:name w:val="Medium Grid 3 Accent 2"/>
    <w:basedOn w:val="a1"/>
    <w:uiPriority w:val="69"/>
    <w:qFormat/>
    <w:rsid w:val="00104D15"/>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DFA7A6"/>
      </w:tcPr>
    </w:tblStylePr>
  </w:style>
  <w:style w:type="table" w:styleId="3-3">
    <w:name w:val="Medium Grid 3 Accent 3"/>
    <w:basedOn w:val="a1"/>
    <w:uiPriority w:val="69"/>
    <w:rsid w:val="00104D15"/>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CDDDAC"/>
      </w:tcPr>
    </w:tblStylePr>
  </w:style>
  <w:style w:type="table" w:styleId="3-4">
    <w:name w:val="Medium Grid 3 Accent 4"/>
    <w:basedOn w:val="a1"/>
    <w:uiPriority w:val="69"/>
    <w:rsid w:val="00104D15"/>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BFB1D0"/>
      </w:tcPr>
    </w:tblStylePr>
  </w:style>
  <w:style w:type="table" w:styleId="3-5">
    <w:name w:val="Medium Grid 3 Accent 5"/>
    <w:basedOn w:val="a1"/>
    <w:uiPriority w:val="69"/>
    <w:rsid w:val="00104D15"/>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5D5E2"/>
      </w:tcPr>
    </w:tblStylePr>
  </w:style>
  <w:style w:type="table" w:styleId="3-6">
    <w:name w:val="Medium Grid 3 Accent 6"/>
    <w:basedOn w:val="a1"/>
    <w:uiPriority w:val="69"/>
    <w:rsid w:val="00104D15"/>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FBCAA2"/>
      </w:tcPr>
    </w:tblStylePr>
  </w:style>
  <w:style w:type="paragraph" w:styleId="a8">
    <w:name w:val="List Paragraph"/>
    <w:basedOn w:val="a"/>
    <w:uiPriority w:val="99"/>
    <w:qFormat/>
    <w:rsid w:val="00104D1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1180</Words>
  <Characters>153</Characters>
  <Application>Microsoft Office Word</Application>
  <DocSecurity>0</DocSecurity>
  <Lines>1</Lines>
  <Paragraphs>2</Paragraphs>
  <ScaleCrop>false</ScaleCrop>
  <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SMART-Carol</dc:creator>
  <cp:lastModifiedBy>lint</cp:lastModifiedBy>
  <cp:revision>6</cp:revision>
  <dcterms:created xsi:type="dcterms:W3CDTF">2017-07-14T04:03:00Z</dcterms:created>
  <dcterms:modified xsi:type="dcterms:W3CDTF">2019-06-06T09:01:00Z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