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15" w:rsidRPr="00890A15" w:rsidRDefault="00890A15" w:rsidP="00890A15">
      <w:pPr>
        <w:rPr>
          <w:rFonts w:ascii="楷体" w:eastAsia="楷体" w:hAnsi="楷体"/>
          <w:bCs/>
          <w:sz w:val="24"/>
          <w:szCs w:val="24"/>
        </w:rPr>
      </w:pPr>
      <w:r w:rsidRPr="00890A15">
        <w:rPr>
          <w:rFonts w:ascii="楷体" w:eastAsia="楷体" w:hAnsi="楷体" w:hint="eastAsia"/>
          <w:bCs/>
          <w:sz w:val="24"/>
          <w:szCs w:val="24"/>
        </w:rPr>
        <w:t>附件</w:t>
      </w:r>
      <w:r w:rsidR="00C85E5E">
        <w:rPr>
          <w:rFonts w:ascii="楷体" w:eastAsia="楷体" w:hAnsi="楷体" w:hint="eastAsia"/>
          <w:bCs/>
          <w:sz w:val="24"/>
          <w:szCs w:val="24"/>
        </w:rPr>
        <w:t>2</w:t>
      </w:r>
    </w:p>
    <w:p w:rsidR="009D27BD" w:rsidRDefault="009D27BD" w:rsidP="009D27BD">
      <w:pPr>
        <w:jc w:val="center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 w:hint="eastAsia"/>
          <w:b/>
          <w:bCs/>
          <w:sz w:val="30"/>
          <w:szCs w:val="30"/>
        </w:rPr>
        <w:t>邵阳学院与</w:t>
      </w:r>
      <w:r w:rsidRPr="009D27BD">
        <w:rPr>
          <w:rFonts w:ascii="楷体" w:eastAsia="楷体" w:hAnsi="楷体" w:hint="eastAsia"/>
          <w:b/>
          <w:bCs/>
          <w:sz w:val="30"/>
          <w:szCs w:val="30"/>
        </w:rPr>
        <w:t>马来西亚林登大学学院</w:t>
      </w:r>
      <w:r>
        <w:rPr>
          <w:rFonts w:ascii="楷体" w:eastAsia="楷体" w:hAnsi="楷体" w:hint="eastAsia"/>
          <w:b/>
          <w:bCs/>
          <w:sz w:val="30"/>
          <w:szCs w:val="30"/>
        </w:rPr>
        <w:t>博士联合培养项目介绍</w:t>
      </w:r>
    </w:p>
    <w:p w:rsidR="009D27BD" w:rsidRDefault="009D27BD" w:rsidP="009D27BD">
      <w:pPr>
        <w:jc w:val="center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/>
          <w:b/>
          <w:bCs/>
          <w:sz w:val="30"/>
          <w:szCs w:val="30"/>
        </w:rPr>
        <w:t>(</w:t>
      </w:r>
      <w:r>
        <w:rPr>
          <w:rFonts w:ascii="楷体" w:eastAsia="楷体" w:hAnsi="楷体" w:hint="eastAsia"/>
          <w:b/>
          <w:bCs/>
          <w:sz w:val="30"/>
          <w:szCs w:val="30"/>
        </w:rPr>
        <w:t>2019年秋季</w:t>
      </w:r>
      <w:r>
        <w:rPr>
          <w:rFonts w:ascii="楷体" w:eastAsia="楷体" w:hAnsi="楷体"/>
          <w:b/>
          <w:bCs/>
          <w:sz w:val="30"/>
          <w:szCs w:val="30"/>
        </w:rPr>
        <w:t>)</w:t>
      </w:r>
    </w:p>
    <w:p w:rsidR="009D27BD" w:rsidRDefault="009D27BD" w:rsidP="009D27BD">
      <w:pPr>
        <w:spacing w:line="360" w:lineRule="auto"/>
        <w:rPr>
          <w:rFonts w:ascii="楷体" w:eastAsia="楷体" w:hAnsi="楷体" w:cs="楷体"/>
          <w:b/>
          <w:color w:val="161616"/>
          <w:sz w:val="28"/>
          <w:szCs w:val="28"/>
        </w:rPr>
      </w:pPr>
      <w:r>
        <w:rPr>
          <w:rFonts w:ascii="楷体" w:eastAsia="楷体" w:hAnsi="楷体" w:cs="楷体" w:hint="eastAsia"/>
          <w:b/>
          <w:color w:val="161616"/>
          <w:sz w:val="28"/>
          <w:szCs w:val="28"/>
        </w:rPr>
        <w:t>一、</w:t>
      </w:r>
      <w:r w:rsidR="00E74BA2" w:rsidRPr="009D27BD">
        <w:rPr>
          <w:rFonts w:ascii="楷体" w:eastAsia="楷体" w:hAnsi="楷体" w:hint="eastAsia"/>
          <w:b/>
          <w:bCs/>
          <w:sz w:val="30"/>
          <w:szCs w:val="30"/>
        </w:rPr>
        <w:t>马来西亚林登大学学院</w:t>
      </w:r>
      <w:r>
        <w:rPr>
          <w:rFonts w:ascii="楷体" w:eastAsia="楷体" w:hAnsi="楷体" w:cs="楷体" w:hint="eastAsia"/>
          <w:b/>
          <w:color w:val="161616"/>
          <w:sz w:val="28"/>
          <w:szCs w:val="28"/>
        </w:rPr>
        <w:t>简介</w:t>
      </w:r>
    </w:p>
    <w:p w:rsidR="0048702B" w:rsidRDefault="009D27BD" w:rsidP="009D27BD">
      <w:pPr>
        <w:pStyle w:val="a5"/>
        <w:kinsoku w:val="0"/>
        <w:overflowPunct w:val="0"/>
        <w:spacing w:line="242" w:lineRule="auto"/>
        <w:ind w:left="0" w:right="233" w:firstLineChars="196" w:firstLine="472"/>
        <w:rPr>
          <w:rFonts w:ascii="仿宋" w:eastAsia="仿宋" w:hAnsi="仿宋"/>
        </w:rPr>
      </w:pPr>
      <w:r w:rsidRPr="009D27BD">
        <w:rPr>
          <w:rFonts w:ascii="仿宋" w:eastAsia="仿宋" w:hAnsi="仿宋" w:hint="eastAsia"/>
          <w:b/>
          <w:bCs/>
        </w:rPr>
        <w:t>马来西亚林登大学学院</w:t>
      </w:r>
      <w:r w:rsidRPr="009D27BD">
        <w:rPr>
          <w:rFonts w:ascii="仿宋" w:eastAsia="仿宋" w:hAnsi="仿宋" w:hint="eastAsia"/>
          <w:spacing w:val="-14"/>
        </w:rPr>
        <w:t>成立于</w:t>
      </w:r>
      <w:r w:rsidRPr="009D27BD">
        <w:rPr>
          <w:rFonts w:ascii="仿宋" w:eastAsia="仿宋" w:hAnsi="仿宋"/>
          <w:spacing w:val="-14"/>
        </w:rPr>
        <w:t xml:space="preserve"> </w:t>
      </w:r>
      <w:r w:rsidRPr="009D27BD">
        <w:rPr>
          <w:rFonts w:ascii="仿宋" w:eastAsia="仿宋" w:hAnsi="仿宋"/>
        </w:rPr>
        <w:t>1985</w:t>
      </w:r>
      <w:r w:rsidRPr="009D27BD">
        <w:rPr>
          <w:rFonts w:ascii="仿宋" w:eastAsia="仿宋" w:hAnsi="仿宋"/>
          <w:spacing w:val="-13"/>
        </w:rPr>
        <w:t xml:space="preserve"> </w:t>
      </w:r>
      <w:r w:rsidRPr="009D27BD">
        <w:rPr>
          <w:rFonts w:ascii="仿宋" w:eastAsia="仿宋" w:hAnsi="仿宋" w:hint="eastAsia"/>
          <w:spacing w:val="-13"/>
        </w:rPr>
        <w:t>年，现隶属于马来西亚</w:t>
      </w:r>
      <w:r w:rsidRPr="009D27BD">
        <w:rPr>
          <w:rFonts w:ascii="仿宋" w:eastAsia="仿宋" w:hAnsi="仿宋"/>
          <w:spacing w:val="-13"/>
        </w:rPr>
        <w:t xml:space="preserve"> </w:t>
      </w:r>
      <w:r w:rsidRPr="009D27BD">
        <w:rPr>
          <w:rFonts w:ascii="仿宋" w:eastAsia="仿宋" w:hAnsi="仿宋"/>
        </w:rPr>
        <w:t>TSEG</w:t>
      </w:r>
      <w:r w:rsidRPr="009D27BD">
        <w:rPr>
          <w:rFonts w:ascii="仿宋" w:eastAsia="仿宋" w:hAnsi="仿宋"/>
          <w:spacing w:val="-15"/>
        </w:rPr>
        <w:t xml:space="preserve"> </w:t>
      </w:r>
      <w:r w:rsidRPr="009D27BD">
        <w:rPr>
          <w:rFonts w:ascii="仿宋" w:eastAsia="仿宋" w:hAnsi="仿宋" w:hint="eastAsia"/>
          <w:spacing w:val="-15"/>
        </w:rPr>
        <w:t>教育集</w:t>
      </w:r>
      <w:r w:rsidRPr="009D27BD">
        <w:rPr>
          <w:rFonts w:ascii="仿宋" w:eastAsia="仿宋" w:hAnsi="仿宋" w:hint="eastAsia"/>
          <w:spacing w:val="-19"/>
        </w:rPr>
        <w:t>团，占地</w:t>
      </w:r>
      <w:r w:rsidRPr="009D27BD">
        <w:rPr>
          <w:rFonts w:ascii="仿宋" w:eastAsia="仿宋" w:hAnsi="仿宋"/>
          <w:spacing w:val="-19"/>
        </w:rPr>
        <w:t xml:space="preserve"> </w:t>
      </w:r>
      <w:r w:rsidRPr="009D27BD">
        <w:rPr>
          <w:rFonts w:ascii="仿宋" w:eastAsia="仿宋" w:hAnsi="仿宋"/>
        </w:rPr>
        <w:t>1300</w:t>
      </w:r>
      <w:r w:rsidRPr="009D27BD">
        <w:rPr>
          <w:rFonts w:ascii="仿宋" w:eastAsia="仿宋" w:hAnsi="仿宋"/>
          <w:spacing w:val="-13"/>
        </w:rPr>
        <w:t xml:space="preserve"> </w:t>
      </w:r>
      <w:r w:rsidRPr="009D27BD">
        <w:rPr>
          <w:rFonts w:ascii="仿宋" w:eastAsia="仿宋" w:hAnsi="仿宋" w:hint="eastAsia"/>
          <w:spacing w:val="-13"/>
        </w:rPr>
        <w:t>亩，是马来西亚规模较大的，涵盖专科，学士，硕士，博</w:t>
      </w:r>
      <w:r w:rsidRPr="009D27BD">
        <w:rPr>
          <w:rFonts w:ascii="仿宋" w:eastAsia="仿宋" w:hAnsi="仿宋" w:hint="eastAsia"/>
          <w:spacing w:val="-8"/>
        </w:rPr>
        <w:t>士多层级学历教育的私立大学，学院有</w:t>
      </w:r>
      <w:r w:rsidRPr="009D27BD">
        <w:rPr>
          <w:rFonts w:ascii="仿宋" w:eastAsia="仿宋" w:hAnsi="仿宋"/>
          <w:spacing w:val="-8"/>
        </w:rPr>
        <w:t xml:space="preserve"> </w:t>
      </w:r>
      <w:r w:rsidRPr="009D27BD">
        <w:rPr>
          <w:rFonts w:ascii="仿宋" w:eastAsia="仿宋" w:hAnsi="仿宋"/>
        </w:rPr>
        <w:t>30</w:t>
      </w:r>
      <w:r w:rsidRPr="009D27BD">
        <w:rPr>
          <w:rFonts w:ascii="仿宋" w:eastAsia="仿宋" w:hAnsi="仿宋"/>
          <w:spacing w:val="-11"/>
        </w:rPr>
        <w:t xml:space="preserve"> </w:t>
      </w:r>
      <w:r w:rsidRPr="009D27BD">
        <w:rPr>
          <w:rFonts w:ascii="仿宋" w:eastAsia="仿宋" w:hAnsi="仿宋" w:hint="eastAsia"/>
          <w:spacing w:val="-11"/>
        </w:rPr>
        <w:t>多年的教学经验，教职员工素质高，教学质量一流，是马来西亚工程、商学、通信、环境科学领域的领航者；是首批中国教育部和中国驻马来西亚大使馆认证院校。学校提</w:t>
      </w:r>
      <w:r w:rsidRPr="009D27BD">
        <w:rPr>
          <w:rFonts w:ascii="仿宋" w:eastAsia="仿宋" w:hAnsi="仿宋" w:hint="eastAsia"/>
          <w:spacing w:val="-21"/>
        </w:rPr>
        <w:t>供超过</w:t>
      </w:r>
      <w:r w:rsidRPr="009D27BD">
        <w:rPr>
          <w:rFonts w:ascii="仿宋" w:eastAsia="仿宋" w:hAnsi="仿宋"/>
          <w:spacing w:val="-21"/>
        </w:rPr>
        <w:t xml:space="preserve"> </w:t>
      </w:r>
      <w:r w:rsidRPr="009D27BD">
        <w:rPr>
          <w:rFonts w:ascii="仿宋" w:eastAsia="仿宋" w:hAnsi="仿宋"/>
        </w:rPr>
        <w:t>30</w:t>
      </w:r>
      <w:r w:rsidRPr="009D27BD">
        <w:rPr>
          <w:rFonts w:ascii="仿宋" w:eastAsia="仿宋" w:hAnsi="仿宋"/>
          <w:spacing w:val="-7"/>
        </w:rPr>
        <w:t xml:space="preserve"> </w:t>
      </w:r>
      <w:r w:rsidRPr="009D27BD">
        <w:rPr>
          <w:rFonts w:ascii="仿宋" w:eastAsia="仿宋" w:hAnsi="仿宋" w:hint="eastAsia"/>
          <w:spacing w:val="-7"/>
        </w:rPr>
        <w:t>种学位和专业文凭课程，并可学分转移至英、澳、加等国家，</w:t>
      </w:r>
      <w:r w:rsidRPr="009D27BD">
        <w:rPr>
          <w:rFonts w:ascii="仿宋" w:eastAsia="仿宋" w:hAnsi="仿宋"/>
          <w:spacing w:val="-7"/>
        </w:rPr>
        <w:t xml:space="preserve"> </w:t>
      </w:r>
      <w:r w:rsidRPr="009D27BD">
        <w:rPr>
          <w:rFonts w:ascii="仿宋" w:eastAsia="仿宋" w:hAnsi="仿宋" w:hint="eastAsia"/>
          <w:spacing w:val="-7"/>
        </w:rPr>
        <w:t>继续深造且受国际专业团体承认。国际合作办学经验丰富，除提供本校学历课程之外，同时提供与英国考文垂大学，博尔顿大学，利兹贝克特</w:t>
      </w:r>
      <w:r w:rsidRPr="009D27BD">
        <w:rPr>
          <w:rFonts w:ascii="仿宋" w:eastAsia="仿宋" w:hAnsi="仿宋" w:hint="eastAsia"/>
          <w:spacing w:val="2"/>
        </w:rPr>
        <w:t>大学的</w:t>
      </w:r>
      <w:r w:rsidRPr="009D27BD">
        <w:rPr>
          <w:rFonts w:ascii="仿宋" w:eastAsia="仿宋" w:hAnsi="仿宋"/>
          <w:spacing w:val="2"/>
        </w:rPr>
        <w:t xml:space="preserve"> </w:t>
      </w:r>
      <w:r w:rsidRPr="009D27BD">
        <w:rPr>
          <w:rFonts w:ascii="仿宋" w:eastAsia="仿宋" w:hAnsi="仿宋"/>
        </w:rPr>
        <w:t>3+0</w:t>
      </w:r>
      <w:r w:rsidRPr="009D27BD">
        <w:rPr>
          <w:rFonts w:ascii="仿宋" w:eastAsia="仿宋" w:hAnsi="仿宋"/>
          <w:spacing w:val="1"/>
        </w:rPr>
        <w:t xml:space="preserve"> </w:t>
      </w:r>
      <w:r w:rsidRPr="009D27BD">
        <w:rPr>
          <w:rFonts w:ascii="仿宋" w:eastAsia="仿宋" w:hAnsi="仿宋" w:hint="eastAsia"/>
          <w:spacing w:val="1"/>
        </w:rPr>
        <w:t>联合办学学历教育。所授教育均获得马来西亚高等教育部</w:t>
      </w:r>
      <w:r w:rsidRPr="009D27BD">
        <w:rPr>
          <w:rFonts w:ascii="仿宋" w:eastAsia="仿宋" w:hAnsi="仿宋"/>
        </w:rPr>
        <w:t>(MOHE),</w:t>
      </w:r>
      <w:r w:rsidRPr="009D27BD">
        <w:rPr>
          <w:rFonts w:ascii="仿宋" w:eastAsia="仿宋" w:hAnsi="仿宋" w:hint="eastAsia"/>
        </w:rPr>
        <w:t>马来西亚学术鉴定局（</w:t>
      </w:r>
      <w:r w:rsidRPr="009D27BD">
        <w:rPr>
          <w:rFonts w:ascii="仿宋" w:eastAsia="仿宋" w:hAnsi="仿宋"/>
        </w:rPr>
        <w:t>MQA</w:t>
      </w:r>
      <w:r w:rsidRPr="009D27BD">
        <w:rPr>
          <w:rFonts w:ascii="仿宋" w:eastAsia="仿宋" w:hAnsi="仿宋" w:hint="eastAsia"/>
        </w:rPr>
        <w:t>）</w:t>
      </w:r>
      <w:r w:rsidRPr="009D27BD">
        <w:rPr>
          <w:rFonts w:ascii="仿宋" w:eastAsia="仿宋" w:hAnsi="仿宋"/>
        </w:rPr>
        <w:t>,</w:t>
      </w:r>
      <w:r w:rsidRPr="009D27BD">
        <w:rPr>
          <w:rFonts w:ascii="仿宋" w:eastAsia="仿宋" w:hAnsi="仿宋" w:hint="eastAsia"/>
        </w:rPr>
        <w:t>英国高等教育学术鉴定局（</w:t>
      </w:r>
      <w:r w:rsidRPr="009D27BD">
        <w:rPr>
          <w:rFonts w:ascii="仿宋" w:eastAsia="仿宋" w:hAnsi="仿宋"/>
        </w:rPr>
        <w:t>QAA</w:t>
      </w:r>
      <w:r w:rsidRPr="009D27BD">
        <w:rPr>
          <w:rFonts w:ascii="仿宋" w:eastAsia="仿宋" w:hAnsi="仿宋" w:hint="eastAsia"/>
        </w:rPr>
        <w:t>）</w:t>
      </w:r>
      <w:r w:rsidRPr="009D27BD">
        <w:rPr>
          <w:rFonts w:ascii="仿宋" w:eastAsia="仿宋" w:hAnsi="仿宋"/>
        </w:rPr>
        <w:t xml:space="preserve"> </w:t>
      </w:r>
      <w:r w:rsidRPr="009D27BD">
        <w:rPr>
          <w:rFonts w:ascii="仿宋" w:eastAsia="仿宋" w:hAnsi="仿宋" w:hint="eastAsia"/>
          <w:spacing w:val="-5"/>
        </w:rPr>
        <w:t>及中国教育部认证。建校</w:t>
      </w:r>
      <w:r w:rsidRPr="009D27BD">
        <w:rPr>
          <w:rFonts w:ascii="仿宋" w:eastAsia="仿宋" w:hAnsi="仿宋"/>
          <w:spacing w:val="-5"/>
        </w:rPr>
        <w:t xml:space="preserve"> </w:t>
      </w:r>
      <w:r w:rsidRPr="009D27BD">
        <w:rPr>
          <w:rFonts w:ascii="仿宋" w:eastAsia="仿宋" w:hAnsi="仿宋"/>
        </w:rPr>
        <w:t>30</w:t>
      </w:r>
      <w:r w:rsidRPr="009D27BD">
        <w:rPr>
          <w:rFonts w:ascii="仿宋" w:eastAsia="仿宋" w:hAnsi="仿宋"/>
          <w:spacing w:val="-12"/>
        </w:rPr>
        <w:t xml:space="preserve"> </w:t>
      </w:r>
      <w:r w:rsidRPr="009D27BD">
        <w:rPr>
          <w:rFonts w:ascii="仿宋" w:eastAsia="仿宋" w:hAnsi="仿宋" w:hint="eastAsia"/>
          <w:spacing w:val="-12"/>
        </w:rPr>
        <w:t>多年来，为马来西亚及全球</w:t>
      </w:r>
      <w:r w:rsidRPr="009D27BD">
        <w:rPr>
          <w:rFonts w:ascii="仿宋" w:eastAsia="仿宋" w:hAnsi="仿宋"/>
          <w:spacing w:val="-12"/>
        </w:rPr>
        <w:t xml:space="preserve"> </w:t>
      </w:r>
      <w:r w:rsidRPr="009D27BD">
        <w:rPr>
          <w:rFonts w:ascii="仿宋" w:eastAsia="仿宋" w:hAnsi="仿宋"/>
        </w:rPr>
        <w:t>75</w:t>
      </w:r>
      <w:r w:rsidRPr="009D27BD">
        <w:rPr>
          <w:rFonts w:ascii="仿宋" w:eastAsia="仿宋" w:hAnsi="仿宋"/>
          <w:spacing w:val="-10"/>
        </w:rPr>
        <w:t xml:space="preserve"> </w:t>
      </w:r>
      <w:r w:rsidRPr="009D27BD">
        <w:rPr>
          <w:rFonts w:ascii="仿宋" w:eastAsia="仿宋" w:hAnsi="仿宋" w:hint="eastAsia"/>
          <w:spacing w:val="-10"/>
        </w:rPr>
        <w:t>个国家培养</w:t>
      </w:r>
      <w:r w:rsidRPr="009D27BD">
        <w:rPr>
          <w:rFonts w:ascii="仿宋" w:eastAsia="仿宋" w:hAnsi="仿宋" w:hint="eastAsia"/>
        </w:rPr>
        <w:t>输送了</w:t>
      </w:r>
      <w:r w:rsidRPr="009D27BD">
        <w:rPr>
          <w:rFonts w:ascii="仿宋" w:eastAsia="仿宋" w:hAnsi="仿宋"/>
        </w:rPr>
        <w:t xml:space="preserve"> 30000 </w:t>
      </w:r>
      <w:r w:rsidRPr="009D27BD">
        <w:rPr>
          <w:rFonts w:ascii="仿宋" w:eastAsia="仿宋" w:hAnsi="仿宋" w:hint="eastAsia"/>
        </w:rPr>
        <w:t>余名活跃在各行各业的合格毕业生。</w:t>
      </w:r>
    </w:p>
    <w:p w:rsidR="009D27BD" w:rsidRDefault="009D27BD" w:rsidP="009D27BD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二、项目简介</w:t>
      </w:r>
    </w:p>
    <w:p w:rsidR="009D27BD" w:rsidRDefault="009D27BD" w:rsidP="009D27BD">
      <w:pPr>
        <w:pStyle w:val="a5"/>
        <w:kinsoku w:val="0"/>
        <w:overflowPunct w:val="0"/>
        <w:spacing w:line="242" w:lineRule="auto"/>
        <w:ind w:left="0" w:right="235" w:firstLineChars="200" w:firstLine="436"/>
        <w:jc w:val="both"/>
        <w:rPr>
          <w:rFonts w:ascii="仿宋" w:eastAsia="仿宋" w:hAnsi="仿宋"/>
          <w:spacing w:val="-11"/>
        </w:rPr>
      </w:pPr>
      <w:r>
        <w:rPr>
          <w:rFonts w:ascii="仿宋" w:eastAsia="仿宋" w:hAnsi="仿宋" w:hint="eastAsia"/>
          <w:spacing w:val="-11"/>
        </w:rPr>
        <w:t>为满足邵阳学院对高学历高水平大学教</w:t>
      </w:r>
      <w:r w:rsidRPr="009D27BD">
        <w:rPr>
          <w:rFonts w:ascii="仿宋" w:eastAsia="仿宋" w:hAnsi="仿宋" w:hint="eastAsia"/>
          <w:spacing w:val="-11"/>
        </w:rPr>
        <w:t>师的迫切需求，同时促进两国教师在任教领域的深层次交流，学习，学历提升，以及双方先进教育理念的传播和学术探索。双方在平等，包容，互惠，互利和推进学分互认及教育公益性原则的指导思想下联合成立“在职教师博士联合培养项目”，充分发挥双方优势，把项目立足于马来西亚本土，辐射周边国家和地区，汲取先进教育理念，</w:t>
      </w:r>
      <w:r w:rsidRPr="009D27BD">
        <w:rPr>
          <w:rFonts w:ascii="仿宋" w:eastAsia="仿宋" w:hAnsi="仿宋"/>
          <w:spacing w:val="-11"/>
        </w:rPr>
        <w:t xml:space="preserve"> </w:t>
      </w:r>
      <w:r w:rsidRPr="009D27BD">
        <w:rPr>
          <w:rFonts w:ascii="仿宋" w:eastAsia="仿宋" w:hAnsi="仿宋" w:hint="eastAsia"/>
          <w:spacing w:val="-11"/>
        </w:rPr>
        <w:t>服务邵阳学院在职讲师的培养。</w:t>
      </w:r>
      <w:r w:rsidRPr="009D27BD">
        <w:rPr>
          <w:rFonts w:ascii="仿宋" w:eastAsia="仿宋" w:hAnsi="仿宋"/>
          <w:spacing w:val="-11"/>
        </w:rPr>
        <w:t xml:space="preserve"> </w:t>
      </w:r>
    </w:p>
    <w:p w:rsidR="009D27BD" w:rsidRDefault="009D27BD" w:rsidP="009D27BD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三、培养类型与入学条件</w:t>
      </w:r>
    </w:p>
    <w:p w:rsidR="009D27BD" w:rsidRPr="009D27BD" w:rsidRDefault="009D27BD" w:rsidP="00F873AE">
      <w:pPr>
        <w:pStyle w:val="a6"/>
        <w:numPr>
          <w:ilvl w:val="0"/>
          <w:numId w:val="1"/>
        </w:numPr>
        <w:tabs>
          <w:tab w:val="left" w:pos="961"/>
        </w:tabs>
        <w:kinsoku w:val="0"/>
        <w:overflowPunct w:val="0"/>
        <w:spacing w:before="5"/>
        <w:jc w:val="both"/>
        <w:rPr>
          <w:rFonts w:ascii="仿宋" w:eastAsia="仿宋" w:hAnsi="仿宋"/>
          <w:spacing w:val="-11"/>
        </w:rPr>
      </w:pPr>
      <w:r w:rsidRPr="009D27BD">
        <w:rPr>
          <w:rFonts w:ascii="仿宋" w:eastAsia="仿宋" w:hAnsi="仿宋" w:hint="eastAsia"/>
          <w:spacing w:val="-11"/>
        </w:rPr>
        <w:t>由邵阳学院选拔</w:t>
      </w:r>
      <w:r w:rsidR="00F873AE">
        <w:rPr>
          <w:rFonts w:ascii="仿宋" w:eastAsia="仿宋" w:hAnsi="仿宋" w:hint="eastAsia"/>
          <w:spacing w:val="-11"/>
        </w:rPr>
        <w:t>优秀</w:t>
      </w:r>
      <w:r w:rsidRPr="009D27BD">
        <w:rPr>
          <w:rFonts w:ascii="仿宋" w:eastAsia="仿宋" w:hAnsi="仿宋" w:hint="eastAsia"/>
          <w:spacing w:val="-11"/>
        </w:rPr>
        <w:t>在职教师输送到林登大学学院攻读管理学博士课程</w:t>
      </w:r>
      <w:r w:rsidRPr="009D27BD">
        <w:rPr>
          <w:rFonts w:ascii="仿宋" w:eastAsia="仿宋" w:hAnsi="仿宋"/>
          <w:spacing w:val="-11"/>
        </w:rPr>
        <w:t xml:space="preserve"> </w:t>
      </w:r>
    </w:p>
    <w:p w:rsidR="009D27BD" w:rsidRPr="009D27BD" w:rsidRDefault="009D27BD" w:rsidP="009D27BD">
      <w:pPr>
        <w:pStyle w:val="a6"/>
        <w:numPr>
          <w:ilvl w:val="0"/>
          <w:numId w:val="1"/>
        </w:numPr>
        <w:tabs>
          <w:tab w:val="left" w:pos="961"/>
        </w:tabs>
        <w:kinsoku w:val="0"/>
        <w:overflowPunct w:val="0"/>
        <w:rPr>
          <w:rFonts w:ascii="仿宋" w:eastAsia="仿宋" w:hAnsi="仿宋"/>
          <w:spacing w:val="-11"/>
        </w:rPr>
      </w:pPr>
      <w:r w:rsidRPr="009D27BD">
        <w:rPr>
          <w:rFonts w:ascii="仿宋" w:eastAsia="仿宋" w:hAnsi="仿宋" w:hint="eastAsia"/>
          <w:spacing w:val="-11"/>
        </w:rPr>
        <w:t>就读时间：</w:t>
      </w:r>
      <w:r w:rsidRPr="009D27BD">
        <w:rPr>
          <w:rFonts w:ascii="仿宋" w:eastAsia="仿宋" w:hAnsi="仿宋"/>
          <w:spacing w:val="-11"/>
        </w:rPr>
        <w:t xml:space="preserve">3 </w:t>
      </w:r>
      <w:r w:rsidRPr="009D27BD">
        <w:rPr>
          <w:rFonts w:ascii="仿宋" w:eastAsia="仿宋" w:hAnsi="仿宋" w:hint="eastAsia"/>
          <w:spacing w:val="-11"/>
        </w:rPr>
        <w:t>年。</w:t>
      </w:r>
      <w:r w:rsidRPr="009D27BD">
        <w:rPr>
          <w:rFonts w:ascii="仿宋" w:eastAsia="仿宋" w:hAnsi="仿宋"/>
          <w:spacing w:val="-11"/>
        </w:rPr>
        <w:t xml:space="preserve"> </w:t>
      </w:r>
    </w:p>
    <w:p w:rsidR="009D27BD" w:rsidRPr="009D27BD" w:rsidRDefault="009D27BD" w:rsidP="00F873AE">
      <w:pPr>
        <w:pStyle w:val="a5"/>
        <w:kinsoku w:val="0"/>
        <w:overflowPunct w:val="0"/>
        <w:spacing w:line="242" w:lineRule="auto"/>
        <w:ind w:right="262"/>
        <w:rPr>
          <w:rFonts w:ascii="仿宋" w:eastAsia="仿宋" w:hAnsi="仿宋"/>
          <w:spacing w:val="-11"/>
        </w:rPr>
      </w:pPr>
      <w:r w:rsidRPr="009D27BD">
        <w:rPr>
          <w:rFonts w:ascii="仿宋" w:eastAsia="仿宋" w:hAnsi="仿宋" w:hint="eastAsia"/>
          <w:spacing w:val="-11"/>
        </w:rPr>
        <w:t>其中第</w:t>
      </w:r>
      <w:r w:rsidRPr="009D27BD">
        <w:rPr>
          <w:rFonts w:ascii="仿宋" w:eastAsia="仿宋" w:hAnsi="仿宋"/>
          <w:spacing w:val="-11"/>
        </w:rPr>
        <w:t>1</w:t>
      </w:r>
      <w:r w:rsidRPr="009D27BD">
        <w:rPr>
          <w:rFonts w:ascii="仿宋" w:eastAsia="仿宋" w:hAnsi="仿宋" w:hint="eastAsia"/>
          <w:spacing w:val="-11"/>
        </w:rPr>
        <w:t>年在</w:t>
      </w:r>
      <w:r w:rsidR="00F873AE" w:rsidRPr="009D27BD">
        <w:rPr>
          <w:rFonts w:ascii="仿宋" w:eastAsia="仿宋" w:hAnsi="仿宋" w:hint="eastAsia"/>
          <w:spacing w:val="-11"/>
        </w:rPr>
        <w:t>林登大学学院</w:t>
      </w:r>
      <w:r w:rsidRPr="009D27BD">
        <w:rPr>
          <w:rFonts w:ascii="仿宋" w:eastAsia="仿宋" w:hAnsi="仿宋" w:hint="eastAsia"/>
          <w:spacing w:val="-11"/>
        </w:rPr>
        <w:t>全日制修读完成规定的</w:t>
      </w:r>
      <w:r w:rsidRPr="009D27BD">
        <w:rPr>
          <w:rFonts w:ascii="仿宋" w:eastAsia="仿宋" w:hAnsi="仿宋"/>
          <w:spacing w:val="-11"/>
        </w:rPr>
        <w:t xml:space="preserve"> 9 </w:t>
      </w:r>
      <w:r w:rsidRPr="009D27BD">
        <w:rPr>
          <w:rFonts w:ascii="仿宋" w:eastAsia="仿宋" w:hAnsi="仿宋" w:hint="eastAsia"/>
          <w:spacing w:val="-11"/>
        </w:rPr>
        <w:t>门教学科目并通过学术要求的考试或报告测评</w:t>
      </w:r>
      <w:r w:rsidR="00F873AE">
        <w:rPr>
          <w:rFonts w:ascii="仿宋" w:eastAsia="仿宋" w:hAnsi="仿宋"/>
          <w:spacing w:val="-11"/>
        </w:rPr>
        <w:t>，</w:t>
      </w:r>
      <w:r w:rsidRPr="009D27BD">
        <w:rPr>
          <w:rFonts w:ascii="仿宋" w:eastAsia="仿宋" w:hAnsi="仿宋" w:hint="eastAsia"/>
          <w:spacing w:val="-11"/>
        </w:rPr>
        <w:t>其中第</w:t>
      </w:r>
      <w:r w:rsidRPr="009D27BD">
        <w:rPr>
          <w:rFonts w:ascii="仿宋" w:eastAsia="仿宋" w:hAnsi="仿宋"/>
          <w:spacing w:val="-11"/>
        </w:rPr>
        <w:t>2</w:t>
      </w:r>
      <w:r w:rsidRPr="009D27BD">
        <w:rPr>
          <w:rFonts w:ascii="仿宋" w:eastAsia="仿宋" w:hAnsi="仿宋" w:hint="eastAsia"/>
          <w:spacing w:val="-11"/>
        </w:rPr>
        <w:t>年及第</w:t>
      </w:r>
      <w:r w:rsidRPr="009D27BD">
        <w:rPr>
          <w:rFonts w:ascii="仿宋" w:eastAsia="仿宋" w:hAnsi="仿宋"/>
          <w:spacing w:val="-11"/>
        </w:rPr>
        <w:t>3</w:t>
      </w:r>
      <w:r w:rsidRPr="009D27BD">
        <w:rPr>
          <w:rFonts w:ascii="仿宋" w:eastAsia="仿宋" w:hAnsi="仿宋" w:hint="eastAsia"/>
          <w:spacing w:val="-11"/>
        </w:rPr>
        <w:t>年在</w:t>
      </w:r>
      <w:r w:rsidR="00F873AE">
        <w:rPr>
          <w:rFonts w:ascii="仿宋" w:eastAsia="仿宋" w:hAnsi="仿宋" w:hint="eastAsia"/>
          <w:spacing w:val="-11"/>
        </w:rPr>
        <w:t>邵阳学院完成博士论文，按照林登大学学院</w:t>
      </w:r>
      <w:r w:rsidRPr="009D27BD">
        <w:rPr>
          <w:rFonts w:ascii="仿宋" w:eastAsia="仿宋" w:hAnsi="仿宋" w:hint="eastAsia"/>
          <w:spacing w:val="-11"/>
        </w:rPr>
        <w:t>学期要求定期到校修改论文，参与培养过程中的社会活动（学术研讨等）</w:t>
      </w:r>
      <w:r w:rsidR="00F873AE">
        <w:rPr>
          <w:rFonts w:ascii="仿宋" w:eastAsia="仿宋" w:hAnsi="仿宋" w:hint="eastAsia"/>
          <w:spacing w:val="-11"/>
        </w:rPr>
        <w:t>。</w:t>
      </w:r>
    </w:p>
    <w:p w:rsidR="009D27BD" w:rsidRPr="009D27BD" w:rsidRDefault="009D27BD" w:rsidP="009D27BD">
      <w:pPr>
        <w:pStyle w:val="a6"/>
        <w:numPr>
          <w:ilvl w:val="0"/>
          <w:numId w:val="1"/>
        </w:numPr>
        <w:tabs>
          <w:tab w:val="left" w:pos="961"/>
        </w:tabs>
        <w:kinsoku w:val="0"/>
        <w:overflowPunct w:val="0"/>
        <w:rPr>
          <w:rFonts w:ascii="仿宋" w:eastAsia="仿宋" w:hAnsi="仿宋"/>
          <w:spacing w:val="-11"/>
        </w:rPr>
      </w:pPr>
      <w:r w:rsidRPr="009D27BD">
        <w:rPr>
          <w:rFonts w:ascii="仿宋" w:eastAsia="仿宋" w:hAnsi="仿宋" w:hint="eastAsia"/>
          <w:spacing w:val="-11"/>
        </w:rPr>
        <w:t>前置学历要求及录取标准：</w:t>
      </w:r>
      <w:r w:rsidRPr="009D27BD">
        <w:rPr>
          <w:rFonts w:ascii="仿宋" w:eastAsia="仿宋" w:hAnsi="仿宋"/>
          <w:spacing w:val="-11"/>
        </w:rPr>
        <w:t xml:space="preserve"> </w:t>
      </w:r>
    </w:p>
    <w:p w:rsidR="009D27BD" w:rsidRPr="009D27BD" w:rsidRDefault="009D27BD" w:rsidP="009D27BD">
      <w:pPr>
        <w:pStyle w:val="a5"/>
        <w:kinsoku w:val="0"/>
        <w:overflowPunct w:val="0"/>
        <w:spacing w:before="4"/>
        <w:rPr>
          <w:rFonts w:ascii="仿宋" w:eastAsia="仿宋" w:hAnsi="仿宋"/>
          <w:spacing w:val="-11"/>
        </w:rPr>
      </w:pPr>
      <w:r w:rsidRPr="009D27BD">
        <w:rPr>
          <w:rFonts w:ascii="仿宋" w:eastAsia="仿宋" w:hAnsi="仿宋" w:hint="eastAsia"/>
          <w:spacing w:val="-11"/>
        </w:rPr>
        <w:t>（</w:t>
      </w:r>
      <w:r w:rsidRPr="009D27BD">
        <w:rPr>
          <w:rFonts w:ascii="仿宋" w:eastAsia="仿宋" w:hAnsi="仿宋"/>
          <w:spacing w:val="-11"/>
        </w:rPr>
        <w:t>1</w:t>
      </w:r>
      <w:r w:rsidRPr="009D27BD">
        <w:rPr>
          <w:rFonts w:ascii="仿宋" w:eastAsia="仿宋" w:hAnsi="仿宋" w:hint="eastAsia"/>
          <w:spacing w:val="-11"/>
        </w:rPr>
        <w:t>）</w:t>
      </w:r>
      <w:r w:rsidRPr="009D27BD">
        <w:rPr>
          <w:rFonts w:ascii="仿宋" w:eastAsia="仿宋" w:hAnsi="仿宋"/>
          <w:spacing w:val="-11"/>
        </w:rPr>
        <w:t xml:space="preserve"> </w:t>
      </w:r>
      <w:r w:rsidRPr="009D27BD">
        <w:rPr>
          <w:rFonts w:ascii="仿宋" w:eastAsia="仿宋" w:hAnsi="仿宋" w:hint="eastAsia"/>
          <w:spacing w:val="-11"/>
        </w:rPr>
        <w:t>硕士学历，对专业无硬性要求</w:t>
      </w:r>
      <w:r w:rsidR="00F873AE">
        <w:rPr>
          <w:rFonts w:ascii="仿宋" w:eastAsia="仿宋" w:hAnsi="仿宋" w:hint="eastAsia"/>
          <w:spacing w:val="-11"/>
        </w:rPr>
        <w:t>；</w:t>
      </w:r>
      <w:r w:rsidRPr="009D27BD">
        <w:rPr>
          <w:rFonts w:ascii="仿宋" w:eastAsia="仿宋" w:hAnsi="仿宋"/>
          <w:spacing w:val="-11"/>
        </w:rPr>
        <w:t xml:space="preserve"> </w:t>
      </w:r>
    </w:p>
    <w:p w:rsidR="009D27BD" w:rsidRPr="009D27BD" w:rsidRDefault="009D27BD" w:rsidP="009D27BD">
      <w:pPr>
        <w:pStyle w:val="a5"/>
        <w:kinsoku w:val="0"/>
        <w:overflowPunct w:val="0"/>
        <w:rPr>
          <w:rFonts w:ascii="仿宋" w:eastAsia="仿宋" w:hAnsi="仿宋"/>
          <w:spacing w:val="-11"/>
        </w:rPr>
      </w:pPr>
      <w:r w:rsidRPr="009D27BD">
        <w:rPr>
          <w:rFonts w:ascii="仿宋" w:eastAsia="仿宋" w:hAnsi="仿宋" w:hint="eastAsia"/>
          <w:spacing w:val="-11"/>
        </w:rPr>
        <w:t>（</w:t>
      </w:r>
      <w:r w:rsidRPr="009D27BD">
        <w:rPr>
          <w:rFonts w:ascii="仿宋" w:eastAsia="仿宋" w:hAnsi="仿宋"/>
          <w:spacing w:val="-11"/>
        </w:rPr>
        <w:t>2</w:t>
      </w:r>
      <w:r w:rsidRPr="009D27BD">
        <w:rPr>
          <w:rFonts w:ascii="仿宋" w:eastAsia="仿宋" w:hAnsi="仿宋" w:hint="eastAsia"/>
          <w:spacing w:val="-11"/>
        </w:rPr>
        <w:t>）</w:t>
      </w:r>
      <w:r w:rsidRPr="009D27BD">
        <w:rPr>
          <w:rFonts w:ascii="仿宋" w:eastAsia="仿宋" w:hAnsi="仿宋"/>
          <w:spacing w:val="-11"/>
        </w:rPr>
        <w:t xml:space="preserve"> </w:t>
      </w:r>
      <w:r w:rsidRPr="009D27BD">
        <w:rPr>
          <w:rFonts w:ascii="仿宋" w:eastAsia="仿宋" w:hAnsi="仿宋" w:hint="eastAsia"/>
          <w:spacing w:val="-11"/>
        </w:rPr>
        <w:t>本科学历，需</w:t>
      </w:r>
      <w:r w:rsidR="00F873AE">
        <w:rPr>
          <w:rFonts w:ascii="仿宋" w:eastAsia="仿宋" w:hAnsi="仿宋"/>
          <w:spacing w:val="-11"/>
        </w:rPr>
        <w:t>10</w:t>
      </w:r>
      <w:r w:rsidRPr="009D27BD">
        <w:rPr>
          <w:rFonts w:ascii="仿宋" w:eastAsia="仿宋" w:hAnsi="仿宋" w:hint="eastAsia"/>
          <w:spacing w:val="-11"/>
        </w:rPr>
        <w:t>年以上相关专业工作经验，对专业无硬性要求</w:t>
      </w:r>
      <w:r w:rsidR="00F873AE">
        <w:rPr>
          <w:rFonts w:ascii="仿宋" w:eastAsia="仿宋" w:hAnsi="仿宋" w:hint="eastAsia"/>
          <w:spacing w:val="-11"/>
        </w:rPr>
        <w:t>；</w:t>
      </w:r>
      <w:r w:rsidRPr="009D27BD">
        <w:rPr>
          <w:rFonts w:ascii="仿宋" w:eastAsia="仿宋" w:hAnsi="仿宋"/>
          <w:spacing w:val="-11"/>
        </w:rPr>
        <w:t xml:space="preserve"> </w:t>
      </w:r>
    </w:p>
    <w:p w:rsidR="009D27BD" w:rsidRPr="009D27BD" w:rsidRDefault="009D27BD" w:rsidP="00F873AE">
      <w:pPr>
        <w:pStyle w:val="a5"/>
        <w:kinsoku w:val="0"/>
        <w:overflowPunct w:val="0"/>
        <w:spacing w:before="4" w:line="242" w:lineRule="auto"/>
        <w:ind w:left="1681" w:right="443" w:hanging="721"/>
        <w:jc w:val="both"/>
        <w:rPr>
          <w:rFonts w:ascii="仿宋" w:eastAsia="仿宋" w:hAnsi="仿宋"/>
          <w:spacing w:val="-11"/>
        </w:rPr>
      </w:pPr>
      <w:r w:rsidRPr="009D27BD">
        <w:rPr>
          <w:rFonts w:ascii="仿宋" w:eastAsia="仿宋" w:hAnsi="仿宋" w:hint="eastAsia"/>
          <w:spacing w:val="-11"/>
        </w:rPr>
        <w:t>（</w:t>
      </w:r>
      <w:r w:rsidRPr="009D27BD">
        <w:rPr>
          <w:rFonts w:ascii="仿宋" w:eastAsia="仿宋" w:hAnsi="仿宋"/>
          <w:spacing w:val="-11"/>
        </w:rPr>
        <w:t>3</w:t>
      </w:r>
      <w:r w:rsidRPr="009D27BD">
        <w:rPr>
          <w:rFonts w:ascii="仿宋" w:eastAsia="仿宋" w:hAnsi="仿宋" w:hint="eastAsia"/>
          <w:spacing w:val="-11"/>
        </w:rPr>
        <w:t>）</w:t>
      </w:r>
      <w:r w:rsidRPr="009D27BD">
        <w:rPr>
          <w:rFonts w:ascii="仿宋" w:eastAsia="仿宋" w:hAnsi="仿宋"/>
          <w:spacing w:val="-11"/>
        </w:rPr>
        <w:t xml:space="preserve"> </w:t>
      </w:r>
      <w:r w:rsidRPr="009D27BD">
        <w:rPr>
          <w:rFonts w:ascii="仿宋" w:eastAsia="仿宋" w:hAnsi="仿宋" w:hint="eastAsia"/>
          <w:spacing w:val="-11"/>
        </w:rPr>
        <w:t>语言要求：雅思</w:t>
      </w:r>
      <w:r w:rsidRPr="009D27BD">
        <w:rPr>
          <w:rFonts w:ascii="仿宋" w:eastAsia="仿宋" w:hAnsi="仿宋"/>
          <w:spacing w:val="-11"/>
        </w:rPr>
        <w:t>6.0</w:t>
      </w:r>
      <w:r w:rsidRPr="009D27BD">
        <w:rPr>
          <w:rFonts w:ascii="仿宋" w:eastAsia="仿宋" w:hAnsi="仿宋" w:hint="eastAsia"/>
          <w:spacing w:val="-11"/>
        </w:rPr>
        <w:t>分或</w:t>
      </w:r>
      <w:r w:rsidRPr="009D27BD">
        <w:rPr>
          <w:rFonts w:ascii="仿宋" w:eastAsia="仿宋" w:hAnsi="仿宋"/>
          <w:spacing w:val="-11"/>
        </w:rPr>
        <w:t>MUET 5.0</w:t>
      </w:r>
      <w:r w:rsidRPr="009D27BD">
        <w:rPr>
          <w:rFonts w:ascii="仿宋" w:eastAsia="仿宋" w:hAnsi="仿宋" w:hint="eastAsia"/>
          <w:spacing w:val="-11"/>
        </w:rPr>
        <w:t>分（马来西亚大学英文测试</w:t>
      </w:r>
      <w:r w:rsidR="00F873AE">
        <w:rPr>
          <w:rFonts w:ascii="仿宋" w:eastAsia="仿宋" w:hAnsi="仿宋" w:hint="eastAsia"/>
          <w:spacing w:val="-11"/>
        </w:rPr>
        <w:t>）</w:t>
      </w:r>
      <w:r w:rsidR="00F873AE">
        <w:rPr>
          <w:rFonts w:ascii="仿宋" w:eastAsia="仿宋" w:hAnsi="仿宋"/>
          <w:spacing w:val="-11"/>
        </w:rPr>
        <w:t>。</w:t>
      </w:r>
    </w:p>
    <w:p w:rsidR="00F873AE" w:rsidRDefault="00F873AE" w:rsidP="00F873AE">
      <w:pPr>
        <w:spacing w:line="360" w:lineRule="auto"/>
        <w:rPr>
          <w:rFonts w:ascii="楷体" w:eastAsia="楷体" w:hAnsi="楷体" w:cs="楷体"/>
          <w:b/>
          <w:bCs/>
          <w:color w:val="000000"/>
          <w:sz w:val="28"/>
          <w:szCs w:val="144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144"/>
        </w:rPr>
        <w:t>四、学费</w:t>
      </w:r>
      <w:r>
        <w:rPr>
          <w:rFonts w:ascii="楷体" w:eastAsia="楷体" w:hAnsi="楷体" w:cs="楷体"/>
          <w:b/>
          <w:bCs/>
          <w:color w:val="000000"/>
          <w:sz w:val="28"/>
          <w:szCs w:val="144"/>
        </w:rPr>
        <w:t>及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144"/>
        </w:rPr>
        <w:t>相关费用</w:t>
      </w:r>
    </w:p>
    <w:p w:rsidR="00F873AE" w:rsidRPr="009928D2" w:rsidRDefault="00F873AE" w:rsidP="00F873AE">
      <w:pPr>
        <w:pStyle w:val="a6"/>
        <w:numPr>
          <w:ilvl w:val="0"/>
          <w:numId w:val="2"/>
        </w:numPr>
        <w:tabs>
          <w:tab w:val="left" w:pos="961"/>
        </w:tabs>
        <w:kinsoku w:val="0"/>
        <w:overflowPunct w:val="0"/>
        <w:spacing w:before="3" w:line="242" w:lineRule="auto"/>
        <w:ind w:right="322"/>
        <w:rPr>
          <w:rFonts w:ascii="仿宋" w:eastAsia="仿宋" w:hAnsi="仿宋"/>
          <w:spacing w:val="-11"/>
        </w:rPr>
      </w:pPr>
      <w:r w:rsidRPr="009928D2">
        <w:rPr>
          <w:rFonts w:ascii="仿宋" w:eastAsia="仿宋" w:hAnsi="仿宋" w:hint="eastAsia"/>
          <w:spacing w:val="-11"/>
        </w:rPr>
        <w:t>根据马来西亚高等教育部批准的标准执行，每位学员需</w:t>
      </w:r>
      <w:r w:rsidRPr="009928D2">
        <w:rPr>
          <w:rFonts w:ascii="仿宋" w:eastAsia="仿宋" w:hAnsi="仿宋"/>
          <w:spacing w:val="-11"/>
        </w:rPr>
        <w:t xml:space="preserve"> 3</w:t>
      </w:r>
      <w:r w:rsidRPr="009928D2">
        <w:rPr>
          <w:rFonts w:ascii="仿宋" w:eastAsia="仿宋" w:hAnsi="仿宋" w:hint="eastAsia"/>
          <w:spacing w:val="-11"/>
        </w:rPr>
        <w:t>年支付马币共计</w:t>
      </w:r>
      <w:r w:rsidRPr="009928D2">
        <w:rPr>
          <w:rFonts w:ascii="仿宋" w:eastAsia="仿宋" w:hAnsi="仿宋"/>
          <w:spacing w:val="-11"/>
        </w:rPr>
        <w:t xml:space="preserve"> MYR 86620</w:t>
      </w:r>
      <w:r w:rsidRPr="009928D2">
        <w:rPr>
          <w:rFonts w:ascii="仿宋" w:eastAsia="仿宋" w:hAnsi="仿宋" w:hint="eastAsia"/>
          <w:spacing w:val="-11"/>
        </w:rPr>
        <w:t>，约人民币</w:t>
      </w:r>
      <w:r w:rsidRPr="009928D2">
        <w:rPr>
          <w:rFonts w:ascii="仿宋" w:eastAsia="仿宋" w:hAnsi="仿宋"/>
          <w:spacing w:val="-11"/>
        </w:rPr>
        <w:t xml:space="preserve"> CNY138600</w:t>
      </w:r>
      <w:r w:rsidRPr="009928D2">
        <w:rPr>
          <w:rFonts w:ascii="仿宋" w:eastAsia="仿宋" w:hAnsi="仿宋" w:hint="eastAsia"/>
          <w:spacing w:val="-11"/>
        </w:rPr>
        <w:t>。</w:t>
      </w:r>
      <w:r w:rsidRPr="009928D2">
        <w:rPr>
          <w:rFonts w:ascii="仿宋" w:eastAsia="仿宋" w:hAnsi="仿宋"/>
          <w:spacing w:val="-11"/>
        </w:rPr>
        <w:t xml:space="preserve"> </w:t>
      </w:r>
    </w:p>
    <w:p w:rsidR="00F873AE" w:rsidRPr="00F873AE" w:rsidRDefault="00F873AE" w:rsidP="00F873AE">
      <w:pPr>
        <w:pStyle w:val="a6"/>
        <w:numPr>
          <w:ilvl w:val="0"/>
          <w:numId w:val="2"/>
        </w:numPr>
        <w:tabs>
          <w:tab w:val="left" w:pos="961"/>
        </w:tabs>
        <w:kinsoku w:val="0"/>
        <w:overflowPunct w:val="0"/>
        <w:spacing w:before="3"/>
        <w:rPr>
          <w:rFonts w:ascii="仿宋" w:eastAsia="仿宋" w:hAnsi="仿宋"/>
          <w:spacing w:val="-11"/>
        </w:rPr>
      </w:pPr>
      <w:r w:rsidRPr="009928D2">
        <w:rPr>
          <w:rFonts w:ascii="仿宋" w:eastAsia="仿宋" w:hAnsi="仿宋" w:hint="eastAsia"/>
          <w:spacing w:val="-11"/>
        </w:rPr>
        <w:t>费用可分三年三期支付，亦可一次性支付。</w:t>
      </w:r>
      <w:r w:rsidRPr="00F873AE">
        <w:rPr>
          <w:rFonts w:ascii="仿宋" w:eastAsia="仿宋" w:hAnsi="仿宋"/>
          <w:spacing w:val="-11"/>
        </w:rPr>
        <w:t xml:space="preserve"> </w:t>
      </w:r>
    </w:p>
    <w:p w:rsidR="009D27BD" w:rsidRPr="00890A15" w:rsidRDefault="00F873AE" w:rsidP="00890A15">
      <w:pPr>
        <w:pStyle w:val="a6"/>
        <w:numPr>
          <w:ilvl w:val="0"/>
          <w:numId w:val="2"/>
        </w:numPr>
        <w:tabs>
          <w:tab w:val="left" w:pos="961"/>
        </w:tabs>
        <w:kinsoku w:val="0"/>
        <w:overflowPunct w:val="0"/>
        <w:spacing w:line="244" w:lineRule="auto"/>
        <w:ind w:right="505"/>
      </w:pPr>
      <w:r>
        <w:rPr>
          <w:rFonts w:ascii="仿宋" w:eastAsia="仿宋" w:hAnsi="仿宋" w:hint="eastAsia"/>
          <w:spacing w:val="-11"/>
        </w:rPr>
        <w:t>费用包含：学费，住宿费，签证申请费，医疗保险费，国际学生管理费，</w:t>
      </w:r>
      <w:r w:rsidRPr="00F873AE">
        <w:rPr>
          <w:rFonts w:ascii="仿宋" w:eastAsia="仿宋" w:hAnsi="仿宋" w:hint="eastAsia"/>
          <w:spacing w:val="-11"/>
        </w:rPr>
        <w:t>及杂费，押金（</w:t>
      </w:r>
      <w:r w:rsidRPr="00F873AE">
        <w:rPr>
          <w:rFonts w:ascii="仿宋" w:eastAsia="仿宋" w:hAnsi="仿宋"/>
          <w:spacing w:val="-11"/>
        </w:rPr>
        <w:t xml:space="preserve">MYR 5000 </w:t>
      </w:r>
      <w:r w:rsidRPr="00F873AE">
        <w:rPr>
          <w:rFonts w:ascii="仿宋" w:eastAsia="仿宋" w:hAnsi="仿宋" w:hint="eastAsia"/>
          <w:spacing w:val="-11"/>
        </w:rPr>
        <w:t>毕业可返还）。</w:t>
      </w:r>
      <w:r>
        <w:t xml:space="preserve"> </w:t>
      </w:r>
    </w:p>
    <w:sectPr w:rsidR="009D27BD" w:rsidRPr="00890A15" w:rsidSect="0048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AD" w:rsidRDefault="000C55AD" w:rsidP="009D27BD">
      <w:r>
        <w:separator/>
      </w:r>
    </w:p>
  </w:endnote>
  <w:endnote w:type="continuationSeparator" w:id="1">
    <w:p w:rsidR="000C55AD" w:rsidRDefault="000C55AD" w:rsidP="009D2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AD" w:rsidRDefault="000C55AD" w:rsidP="009D27BD">
      <w:r>
        <w:separator/>
      </w:r>
    </w:p>
  </w:footnote>
  <w:footnote w:type="continuationSeparator" w:id="1">
    <w:p w:rsidR="000C55AD" w:rsidRDefault="000C55AD" w:rsidP="009D2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60" w:hanging="360"/>
      </w:pPr>
      <w:rPr>
        <w:rFonts w:ascii="宋体" w:eastAsia="宋体" w:cs="宋体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042" w:hanging="360"/>
      </w:pPr>
    </w:lvl>
    <w:lvl w:ilvl="5">
      <w:numFmt w:val="bullet"/>
      <w:lvlText w:val="•"/>
      <w:lvlJc w:val="left"/>
      <w:pPr>
        <w:ind w:left="4813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354" w:hanging="360"/>
      </w:pPr>
    </w:lvl>
    <w:lvl w:ilvl="8">
      <w:numFmt w:val="bullet"/>
      <w:lvlText w:val="•"/>
      <w:lvlJc w:val="left"/>
      <w:pPr>
        <w:ind w:left="7125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60" w:hanging="360"/>
      </w:pPr>
      <w:rPr>
        <w:rFonts w:ascii="宋体" w:eastAsia="宋体" w:cs="宋体"/>
        <w:b w:val="0"/>
        <w:bCs w:val="0"/>
        <w:spacing w:val="-59"/>
        <w:w w:val="100"/>
        <w:sz w:val="24"/>
        <w:szCs w:val="24"/>
      </w:rPr>
    </w:lvl>
    <w:lvl w:ilvl="1">
      <w:numFmt w:val="bullet"/>
      <w:lvlText w:val="•"/>
      <w:lvlJc w:val="left"/>
      <w:pPr>
        <w:ind w:left="173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042" w:hanging="360"/>
      </w:pPr>
    </w:lvl>
    <w:lvl w:ilvl="5">
      <w:numFmt w:val="bullet"/>
      <w:lvlText w:val="•"/>
      <w:lvlJc w:val="left"/>
      <w:pPr>
        <w:ind w:left="4813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354" w:hanging="360"/>
      </w:pPr>
    </w:lvl>
    <w:lvl w:ilvl="8">
      <w:numFmt w:val="bullet"/>
      <w:lvlText w:val="•"/>
      <w:lvlJc w:val="left"/>
      <w:pPr>
        <w:ind w:left="712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7BD"/>
    <w:rsid w:val="000C55AD"/>
    <w:rsid w:val="0048702B"/>
    <w:rsid w:val="006A2140"/>
    <w:rsid w:val="00890A15"/>
    <w:rsid w:val="009928D2"/>
    <w:rsid w:val="009D27BD"/>
    <w:rsid w:val="00BD1150"/>
    <w:rsid w:val="00C85E5E"/>
    <w:rsid w:val="00E74BA2"/>
    <w:rsid w:val="00EA571D"/>
    <w:rsid w:val="00EE0FD7"/>
    <w:rsid w:val="00F8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7B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7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7BD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D27BD"/>
    <w:pPr>
      <w:spacing w:before="5"/>
      <w:ind w:left="960"/>
    </w:pPr>
    <w:rPr>
      <w:sz w:val="24"/>
      <w:szCs w:val="24"/>
    </w:rPr>
  </w:style>
  <w:style w:type="character" w:customStyle="1" w:styleId="Char1">
    <w:name w:val="正文文本 Char"/>
    <w:basedOn w:val="a0"/>
    <w:link w:val="a5"/>
    <w:uiPriority w:val="99"/>
    <w:rsid w:val="009D27BD"/>
    <w:rPr>
      <w:rFonts w:ascii="宋体" w:eastAsia="宋体" w:hAnsi="Times New Roman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9D27BD"/>
    <w:pPr>
      <w:spacing w:before="4"/>
      <w:ind w:left="960" w:hanging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466</Words>
  <Characters>602</Characters>
  <Application>Microsoft Office Word</Application>
  <DocSecurity>0</DocSecurity>
  <Lines>120</Lines>
  <Paragraphs>133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7</cp:revision>
  <cp:lastPrinted>2019-06-05T01:24:00Z</cp:lastPrinted>
  <dcterms:created xsi:type="dcterms:W3CDTF">2019-06-03T06:59:00Z</dcterms:created>
  <dcterms:modified xsi:type="dcterms:W3CDTF">2019-06-05T01:24:00Z</dcterms:modified>
</cp:coreProperties>
</file>