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30" w:rsidRDefault="00E75E30">
      <w:pPr>
        <w:jc w:val="center"/>
        <w:rPr>
          <w:rFonts w:ascii="方正大标宋简体" w:eastAsia="方正大标宋简体" w:hAnsi="方正大标宋简体" w:cs="Times New Roman"/>
          <w:sz w:val="44"/>
          <w:szCs w:val="44"/>
        </w:rPr>
      </w:pPr>
      <w:r>
        <w:rPr>
          <w:rFonts w:ascii="方正大标宋简体" w:eastAsia="方正大标宋简体" w:hAnsi="方正大标宋简体" w:cs="方正大标宋简体" w:hint="eastAsia"/>
          <w:sz w:val="44"/>
          <w:szCs w:val="44"/>
        </w:rPr>
        <w:t>邵阳学院“平安院系”申报表</w:t>
      </w:r>
    </w:p>
    <w:tbl>
      <w:tblPr>
        <w:tblW w:w="14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6"/>
        <w:gridCol w:w="5504"/>
        <w:gridCol w:w="5062"/>
        <w:gridCol w:w="2405"/>
      </w:tblGrid>
      <w:tr w:rsidR="00E75E30" w:rsidRPr="00C72169" w:rsidTr="00631696">
        <w:trPr>
          <w:trHeight w:val="683"/>
        </w:trPr>
        <w:tc>
          <w:tcPr>
            <w:tcW w:w="7060" w:type="dxa"/>
            <w:gridSpan w:val="2"/>
            <w:vAlign w:val="center"/>
          </w:tcPr>
          <w:p w:rsidR="00E75E30" w:rsidRPr="00C72169" w:rsidRDefault="00E75E30" w:rsidP="00C72169">
            <w:pPr>
              <w:spacing w:line="380" w:lineRule="exact"/>
              <w:rPr>
                <w:rFonts w:cs="Times New Roman"/>
              </w:rPr>
            </w:pPr>
            <w:r w:rsidRPr="00C72169">
              <w:rPr>
                <w:rFonts w:cs="宋体" w:hint="eastAsia"/>
              </w:rPr>
              <w:t>申报院系名称：</w:t>
            </w:r>
          </w:p>
        </w:tc>
        <w:tc>
          <w:tcPr>
            <w:tcW w:w="7467" w:type="dxa"/>
            <w:gridSpan w:val="2"/>
            <w:vAlign w:val="center"/>
          </w:tcPr>
          <w:p w:rsidR="00E75E30" w:rsidRPr="00C72169" w:rsidRDefault="00E75E30" w:rsidP="00C72169">
            <w:pPr>
              <w:spacing w:line="380" w:lineRule="exact"/>
              <w:rPr>
                <w:rFonts w:cs="Times New Roman"/>
              </w:rPr>
            </w:pPr>
            <w:r w:rsidRPr="00C72169">
              <w:rPr>
                <w:rFonts w:cs="宋体" w:hint="eastAsia"/>
              </w:rPr>
              <w:t>院系领导姓名：</w:t>
            </w:r>
          </w:p>
        </w:tc>
      </w:tr>
      <w:tr w:rsidR="00E75E30" w:rsidRPr="00C72169" w:rsidTr="00631696">
        <w:trPr>
          <w:trHeight w:val="140"/>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条目</w:t>
            </w:r>
          </w:p>
        </w:tc>
        <w:tc>
          <w:tcPr>
            <w:tcW w:w="5504" w:type="dxa"/>
            <w:vAlign w:val="center"/>
          </w:tcPr>
          <w:p w:rsidR="00E75E30" w:rsidRPr="00C72169" w:rsidRDefault="00E75E30" w:rsidP="00C72169">
            <w:pPr>
              <w:spacing w:line="380" w:lineRule="exact"/>
              <w:jc w:val="center"/>
              <w:rPr>
                <w:rFonts w:cs="Times New Roman"/>
              </w:rPr>
            </w:pPr>
            <w:r w:rsidRPr="00C72169">
              <w:rPr>
                <w:rFonts w:cs="宋体" w:hint="eastAsia"/>
              </w:rPr>
              <w:t>“平安院系”建设</w:t>
            </w:r>
          </w:p>
          <w:p w:rsidR="00E75E30" w:rsidRPr="00C72169" w:rsidRDefault="00E75E30" w:rsidP="00C72169">
            <w:pPr>
              <w:spacing w:line="380" w:lineRule="exact"/>
              <w:jc w:val="center"/>
              <w:rPr>
                <w:rFonts w:cs="Times New Roman"/>
              </w:rPr>
            </w:pPr>
            <w:r w:rsidRPr="00C72169">
              <w:rPr>
                <w:rFonts w:cs="宋体" w:hint="eastAsia"/>
              </w:rPr>
              <w:t>基本标准</w:t>
            </w:r>
          </w:p>
        </w:tc>
        <w:tc>
          <w:tcPr>
            <w:tcW w:w="5062" w:type="dxa"/>
            <w:vAlign w:val="center"/>
          </w:tcPr>
          <w:p w:rsidR="00E75E30" w:rsidRPr="00C72169" w:rsidRDefault="00E75E30" w:rsidP="00C72169">
            <w:pPr>
              <w:spacing w:line="380" w:lineRule="exact"/>
              <w:jc w:val="center"/>
              <w:rPr>
                <w:rFonts w:cs="Times New Roman"/>
              </w:rPr>
            </w:pPr>
            <w:r w:rsidRPr="00C72169">
              <w:rPr>
                <w:rFonts w:cs="宋体" w:hint="eastAsia"/>
              </w:rPr>
              <w:t>对照基本标准</w:t>
            </w:r>
          </w:p>
          <w:p w:rsidR="00E75E30" w:rsidRPr="00C72169" w:rsidRDefault="00E75E30" w:rsidP="00C72169">
            <w:pPr>
              <w:spacing w:line="380" w:lineRule="exact"/>
              <w:jc w:val="center"/>
              <w:rPr>
                <w:rFonts w:cs="Times New Roman"/>
              </w:rPr>
            </w:pPr>
            <w:r w:rsidRPr="00C72169">
              <w:rPr>
                <w:rFonts w:cs="宋体" w:hint="eastAsia"/>
              </w:rPr>
              <w:t>自评自述</w:t>
            </w: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必须提供的佐证</w:t>
            </w:r>
          </w:p>
          <w:p w:rsidR="00E75E30" w:rsidRPr="00C72169" w:rsidRDefault="00E75E30" w:rsidP="00C72169">
            <w:pPr>
              <w:spacing w:line="380" w:lineRule="exact"/>
              <w:jc w:val="center"/>
              <w:rPr>
                <w:rFonts w:cs="Times New Roman"/>
              </w:rPr>
            </w:pPr>
            <w:r w:rsidRPr="00C72169">
              <w:rPr>
                <w:rFonts w:cs="宋体" w:hint="eastAsia"/>
              </w:rPr>
              <w:t>材料或证明</w:t>
            </w:r>
          </w:p>
        </w:tc>
      </w:tr>
      <w:tr w:rsidR="00E75E30" w:rsidRPr="00C72169" w:rsidTr="00631696">
        <w:trPr>
          <w:trHeight w:val="1280"/>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第一条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确保院系不发生影响国家安全和社会稳定的重大政治事件</w:t>
            </w:r>
            <w:r>
              <w:rPr>
                <w:rFonts w:cs="宋体" w:hint="eastAsia"/>
              </w:rPr>
              <w:t>、</w:t>
            </w:r>
            <w:r w:rsidRPr="00C72169">
              <w:rPr>
                <w:rFonts w:cs="宋体" w:hint="eastAsia"/>
              </w:rPr>
              <w:t>非法聚集事件、重大群体性事件及暴力恐怖事件，不发生危害师生生命财产安全的恶性刑事案件和重大事故</w:t>
            </w:r>
            <w:r>
              <w:rPr>
                <w:rFonts w:cs="宋体" w:hint="eastAsia"/>
              </w:rPr>
              <w:t>。</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p>
        </w:tc>
      </w:tr>
      <w:tr w:rsidR="00E75E30" w:rsidRPr="00C72169" w:rsidTr="00631696">
        <w:trPr>
          <w:trHeight w:val="1990"/>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第二条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院系总支会或系务会每年至少专题研究一次“平安院系”建设工作，院系总支书记、主任为“平安院系”建设第一责任人，分管副书记或副主任为直接责任人。每年与学校签订维稳综治安全工作责任书，将维稳综治安全工作纳入本单位年度考核内容，并有奖惩措施。</w:t>
            </w:r>
          </w:p>
        </w:tc>
        <w:tc>
          <w:tcPr>
            <w:tcW w:w="5062" w:type="dxa"/>
            <w:vAlign w:val="center"/>
          </w:tcPr>
          <w:p w:rsidR="00E75E30" w:rsidRPr="000522CE"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rPr>
                <w:rFonts w:cs="Times New Roman"/>
              </w:rPr>
            </w:pPr>
            <w:r w:rsidRPr="00C72169">
              <w:rPr>
                <w:rFonts w:cs="宋体" w:hint="eastAsia"/>
              </w:rPr>
              <w:t>会议记录，“平安院系”建设领导小组，签订的责任书、考核方案与奖惩措施</w:t>
            </w:r>
          </w:p>
        </w:tc>
      </w:tr>
      <w:tr w:rsidR="00E75E30" w:rsidRPr="00C72169" w:rsidTr="00631696">
        <w:trPr>
          <w:trHeight w:val="980"/>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第三条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院系成立“平安院系”建设领导小组，指定人员负责“平安院系”建设日常工作。</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相关院系文件</w:t>
            </w:r>
          </w:p>
          <w:p w:rsidR="00E75E30" w:rsidRPr="00C72169" w:rsidRDefault="00E75E30" w:rsidP="00C72169">
            <w:pPr>
              <w:spacing w:line="380" w:lineRule="exact"/>
              <w:jc w:val="center"/>
              <w:rPr>
                <w:rFonts w:cs="Times New Roman"/>
              </w:rPr>
            </w:pPr>
            <w:r w:rsidRPr="00C72169">
              <w:rPr>
                <w:rFonts w:cs="宋体" w:hint="eastAsia"/>
              </w:rPr>
              <w:t>工作记录台帐</w:t>
            </w:r>
          </w:p>
        </w:tc>
      </w:tr>
      <w:tr w:rsidR="00E75E30" w:rsidRPr="00C72169" w:rsidTr="00631696">
        <w:trPr>
          <w:trHeight w:val="965"/>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第四条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重点实验室、计算机房、危化物品保管等重点部位，按规定落实防失（泄）密、防盗窃设施，无较大失（泄）密、盗窃事故。</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照片及相关</w:t>
            </w:r>
          </w:p>
          <w:p w:rsidR="00E75E30" w:rsidRPr="00C72169" w:rsidRDefault="00E75E30" w:rsidP="00C72169">
            <w:pPr>
              <w:spacing w:line="380" w:lineRule="exact"/>
              <w:jc w:val="center"/>
              <w:rPr>
                <w:rFonts w:cs="Times New Roman"/>
              </w:rPr>
            </w:pPr>
            <w:r w:rsidRPr="00C72169">
              <w:rPr>
                <w:rFonts w:cs="宋体" w:hint="eastAsia"/>
              </w:rPr>
              <w:t>制度规定</w:t>
            </w:r>
          </w:p>
        </w:tc>
      </w:tr>
      <w:tr w:rsidR="00E75E30" w:rsidRPr="00C72169" w:rsidTr="00631696">
        <w:trPr>
          <w:trHeight w:val="1277"/>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第五条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认真贯彻落实教育部、公安部《高等学校消防管理规定》（</w:t>
            </w:r>
            <w:r w:rsidRPr="00C72169">
              <w:t>28</w:t>
            </w:r>
            <w:r w:rsidRPr="00C72169">
              <w:rPr>
                <w:rFonts w:cs="宋体" w:hint="eastAsia"/>
              </w:rPr>
              <w:t>号令）要求，消防设施齐全完好，消防通道畅通，积极组织师生参加消防培训和实践演练，无消防安全事故。</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716BD2">
            <w:pPr>
              <w:spacing w:line="380" w:lineRule="exact"/>
              <w:jc w:val="center"/>
              <w:rPr>
                <w:rFonts w:cs="Times New Roman"/>
              </w:rPr>
            </w:pPr>
            <w:r w:rsidRPr="00C72169">
              <w:rPr>
                <w:rFonts w:cs="宋体" w:hint="eastAsia"/>
              </w:rPr>
              <w:t>照片及消防培训和演练方案或计划</w:t>
            </w:r>
          </w:p>
        </w:tc>
      </w:tr>
      <w:tr w:rsidR="00E75E30" w:rsidRPr="00C72169" w:rsidTr="00631696">
        <w:trPr>
          <w:trHeight w:val="731"/>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条目</w:t>
            </w:r>
          </w:p>
        </w:tc>
        <w:tc>
          <w:tcPr>
            <w:tcW w:w="5504" w:type="dxa"/>
            <w:vAlign w:val="center"/>
          </w:tcPr>
          <w:p w:rsidR="00E75E30" w:rsidRPr="00C72169" w:rsidRDefault="00E75E30" w:rsidP="00C72169">
            <w:pPr>
              <w:spacing w:line="380" w:lineRule="exact"/>
              <w:jc w:val="center"/>
              <w:rPr>
                <w:rFonts w:cs="Times New Roman"/>
              </w:rPr>
            </w:pPr>
            <w:r w:rsidRPr="00C72169">
              <w:rPr>
                <w:rFonts w:cs="宋体" w:hint="eastAsia"/>
              </w:rPr>
              <w:t>“平安院系”建设</w:t>
            </w:r>
          </w:p>
          <w:p w:rsidR="00E75E30" w:rsidRPr="00C72169" w:rsidRDefault="00E75E30" w:rsidP="00C72169">
            <w:pPr>
              <w:spacing w:line="380" w:lineRule="exact"/>
              <w:jc w:val="center"/>
              <w:rPr>
                <w:rFonts w:cs="Times New Roman"/>
              </w:rPr>
            </w:pPr>
            <w:r w:rsidRPr="00C72169">
              <w:rPr>
                <w:rFonts w:cs="宋体" w:hint="eastAsia"/>
              </w:rPr>
              <w:t>基本标准</w:t>
            </w:r>
          </w:p>
        </w:tc>
        <w:tc>
          <w:tcPr>
            <w:tcW w:w="5062" w:type="dxa"/>
            <w:vAlign w:val="center"/>
          </w:tcPr>
          <w:p w:rsidR="00E75E30" w:rsidRPr="00C72169" w:rsidRDefault="00E75E30" w:rsidP="00C72169">
            <w:pPr>
              <w:spacing w:line="380" w:lineRule="exact"/>
              <w:jc w:val="center"/>
              <w:rPr>
                <w:rFonts w:cs="Times New Roman"/>
              </w:rPr>
            </w:pPr>
            <w:r w:rsidRPr="00C72169">
              <w:rPr>
                <w:rFonts w:cs="宋体" w:hint="eastAsia"/>
              </w:rPr>
              <w:t>对照基本标准</w:t>
            </w:r>
          </w:p>
          <w:p w:rsidR="00E75E30" w:rsidRPr="00C72169" w:rsidRDefault="00E75E30" w:rsidP="00C72169">
            <w:pPr>
              <w:spacing w:line="380" w:lineRule="exact"/>
              <w:jc w:val="center"/>
              <w:rPr>
                <w:rFonts w:cs="Times New Roman"/>
              </w:rPr>
            </w:pPr>
            <w:r w:rsidRPr="00C72169">
              <w:rPr>
                <w:rFonts w:cs="宋体" w:hint="eastAsia"/>
              </w:rPr>
              <w:t>自评自述</w:t>
            </w: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必须提供的佐证</w:t>
            </w:r>
          </w:p>
          <w:p w:rsidR="00E75E30" w:rsidRPr="00C72169" w:rsidRDefault="00E75E30" w:rsidP="00C72169">
            <w:pPr>
              <w:spacing w:line="380" w:lineRule="exact"/>
              <w:jc w:val="center"/>
              <w:rPr>
                <w:rFonts w:cs="Times New Roman"/>
              </w:rPr>
            </w:pPr>
            <w:r w:rsidRPr="00C72169">
              <w:rPr>
                <w:rFonts w:cs="宋体" w:hint="eastAsia"/>
              </w:rPr>
              <w:t>材料或证明</w:t>
            </w:r>
          </w:p>
        </w:tc>
      </w:tr>
      <w:tr w:rsidR="00E75E30" w:rsidRPr="00C72169" w:rsidTr="00631696">
        <w:trPr>
          <w:trHeight w:val="1112"/>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第六条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建立健全院系内部矛盾纠纷和安全隐患排查调处机制，每季度至少开展一次综合性的矛盾纠纷安全隐患排查和维稳形势研判，及时化解各种问题，工作台帐完整。</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相关制度和</w:t>
            </w:r>
          </w:p>
          <w:p w:rsidR="00E75E30" w:rsidRPr="00C72169" w:rsidRDefault="00E75E30" w:rsidP="00C72169">
            <w:pPr>
              <w:spacing w:line="380" w:lineRule="exact"/>
              <w:jc w:val="center"/>
              <w:rPr>
                <w:rFonts w:cs="Times New Roman"/>
              </w:rPr>
            </w:pPr>
            <w:r w:rsidRPr="00C72169">
              <w:rPr>
                <w:rFonts w:cs="宋体" w:hint="eastAsia"/>
              </w:rPr>
              <w:t>机构，工作记</w:t>
            </w:r>
          </w:p>
          <w:p w:rsidR="00E75E30" w:rsidRPr="00C72169" w:rsidRDefault="00E75E30" w:rsidP="00C72169">
            <w:pPr>
              <w:spacing w:line="380" w:lineRule="exact"/>
              <w:jc w:val="center"/>
              <w:rPr>
                <w:rFonts w:cs="Times New Roman"/>
              </w:rPr>
            </w:pPr>
            <w:r w:rsidRPr="00C72169">
              <w:rPr>
                <w:rFonts w:cs="宋体" w:hint="eastAsia"/>
              </w:rPr>
              <w:t>录和台帐</w:t>
            </w:r>
          </w:p>
        </w:tc>
      </w:tr>
      <w:tr w:rsidR="00E75E30" w:rsidRPr="00C72169" w:rsidTr="00631696">
        <w:trPr>
          <w:trHeight w:val="1112"/>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第七条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重视安全教育，做到有教材、有课时、有师资、有考核，制定应对自然灾害和突发性群体事件的工作预案，积极组织师生参加应急疏散、逃生、自救演练。</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安全教育计划课表、应急预案和演练照片</w:t>
            </w:r>
          </w:p>
        </w:tc>
      </w:tr>
      <w:tr w:rsidR="00E75E30" w:rsidRPr="00C72169" w:rsidTr="00631696">
        <w:trPr>
          <w:trHeight w:val="1477"/>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第八条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认真做好防范和处理法轮功等邪教工作，积极防预和抵制极端宗教思想的侵袭和破坏，做好新进师生员工的甄别、教育和重点人员的稳控</w:t>
            </w:r>
            <w:r>
              <w:rPr>
                <w:rFonts w:cs="宋体" w:hint="eastAsia"/>
              </w:rPr>
              <w:t>、</w:t>
            </w:r>
            <w:r w:rsidRPr="00C72169">
              <w:rPr>
                <w:rFonts w:cs="宋体" w:hint="eastAsia"/>
              </w:rPr>
              <w:t>教化工作，本单位无法轮功人员和极端宗教思想人员。</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重点人员台帐，开展反邪教工作方案，照片等</w:t>
            </w:r>
          </w:p>
        </w:tc>
      </w:tr>
      <w:tr w:rsidR="00E75E30" w:rsidRPr="00C72169" w:rsidTr="00631696">
        <w:trPr>
          <w:trHeight w:val="1097"/>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第九条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按照学校维稳综治安全信息报送管理的有关规定，建立信息员队伍，做到信息报送准确、及时、规范，不发生迟报、错报、漏报现象。</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信息员队伍名单</w:t>
            </w:r>
          </w:p>
          <w:p w:rsidR="00E75E30" w:rsidRPr="00C72169" w:rsidRDefault="00E75E30" w:rsidP="00C72169">
            <w:pPr>
              <w:spacing w:line="380" w:lineRule="exact"/>
              <w:jc w:val="center"/>
              <w:rPr>
                <w:rFonts w:cs="Times New Roman"/>
              </w:rPr>
            </w:pPr>
            <w:r w:rsidRPr="00C72169">
              <w:rPr>
                <w:rFonts w:cs="宋体" w:hint="eastAsia"/>
              </w:rPr>
              <w:t>信息报送记录复印件</w:t>
            </w:r>
          </w:p>
        </w:tc>
      </w:tr>
      <w:tr w:rsidR="00E75E30" w:rsidRPr="00C72169" w:rsidTr="00631696">
        <w:trPr>
          <w:trHeight w:val="746"/>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第十条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重视师生心理健康教育，建立心理咨询机制，近两年无非正常死亡事件。</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心理辅导和咨询记录，心理咨询师人员名单</w:t>
            </w:r>
          </w:p>
        </w:tc>
      </w:tr>
      <w:tr w:rsidR="00E75E30" w:rsidRPr="00C72169" w:rsidTr="00631696">
        <w:trPr>
          <w:trHeight w:val="731"/>
        </w:trPr>
        <w:tc>
          <w:tcPr>
            <w:tcW w:w="1556" w:type="dxa"/>
            <w:vAlign w:val="center"/>
          </w:tcPr>
          <w:p w:rsidR="00E75E30" w:rsidRPr="00C72169" w:rsidRDefault="00E75E30" w:rsidP="00C72169">
            <w:pPr>
              <w:spacing w:line="380" w:lineRule="exact"/>
              <w:jc w:val="center"/>
              <w:rPr>
                <w:rFonts w:cs="Times New Roman"/>
              </w:rPr>
            </w:pPr>
            <w:r w:rsidRPr="00C72169">
              <w:rPr>
                <w:rFonts w:cs="宋体" w:hint="eastAsia"/>
              </w:rPr>
              <w:t>第十一条</w:t>
            </w:r>
          </w:p>
        </w:tc>
        <w:tc>
          <w:tcPr>
            <w:tcW w:w="5504" w:type="dxa"/>
            <w:vAlign w:val="center"/>
          </w:tcPr>
          <w:p w:rsidR="00E75E30" w:rsidRPr="00C72169" w:rsidRDefault="00E75E30" w:rsidP="00C72169">
            <w:pPr>
              <w:spacing w:line="380" w:lineRule="exact"/>
              <w:rPr>
                <w:rFonts w:cs="Times New Roman"/>
              </w:rPr>
            </w:pPr>
            <w:r w:rsidRPr="00C72169">
              <w:rPr>
                <w:rFonts w:cs="宋体" w:hint="eastAsia"/>
              </w:rPr>
              <w:t>院系所属教职工“平安家庭”达标率</w:t>
            </w:r>
            <w:r w:rsidRPr="00C72169">
              <w:t>100%</w:t>
            </w:r>
            <w:r w:rsidRPr="00C72169">
              <w:rPr>
                <w:rFonts w:cs="宋体" w:hint="eastAsia"/>
              </w:rPr>
              <w:t>，学生平安宿舍达标率</w:t>
            </w:r>
            <w:r w:rsidRPr="00C72169">
              <w:t>98%</w:t>
            </w:r>
            <w:r w:rsidRPr="00C72169">
              <w:rPr>
                <w:rFonts w:cs="宋体" w:hint="eastAsia"/>
              </w:rPr>
              <w:t>以上。</w:t>
            </w:r>
          </w:p>
        </w:tc>
        <w:tc>
          <w:tcPr>
            <w:tcW w:w="5062" w:type="dxa"/>
            <w:vAlign w:val="center"/>
          </w:tcPr>
          <w:p w:rsidR="00E75E30" w:rsidRPr="00C72169" w:rsidRDefault="00E75E30" w:rsidP="00C72169">
            <w:pPr>
              <w:spacing w:line="380" w:lineRule="exact"/>
              <w:jc w:val="center"/>
              <w:rPr>
                <w:rFonts w:cs="Times New Roman"/>
              </w:rPr>
            </w:pPr>
          </w:p>
        </w:tc>
        <w:tc>
          <w:tcPr>
            <w:tcW w:w="2405" w:type="dxa"/>
            <w:vAlign w:val="center"/>
          </w:tcPr>
          <w:p w:rsidR="00E75E30" w:rsidRPr="00C72169" w:rsidRDefault="00E75E30" w:rsidP="00C72169">
            <w:pPr>
              <w:spacing w:line="380" w:lineRule="exact"/>
              <w:jc w:val="center"/>
              <w:rPr>
                <w:rFonts w:cs="Times New Roman"/>
              </w:rPr>
            </w:pPr>
            <w:r w:rsidRPr="00C72169">
              <w:rPr>
                <w:rFonts w:cs="宋体" w:hint="eastAsia"/>
              </w:rPr>
              <w:t>相关文件</w:t>
            </w:r>
          </w:p>
        </w:tc>
      </w:tr>
      <w:tr w:rsidR="00E75E30" w:rsidRPr="00C72169" w:rsidTr="00631696">
        <w:trPr>
          <w:trHeight w:val="1492"/>
        </w:trPr>
        <w:tc>
          <w:tcPr>
            <w:tcW w:w="1556" w:type="dxa"/>
            <w:vAlign w:val="center"/>
          </w:tcPr>
          <w:p w:rsidR="00E75E30" w:rsidRPr="00C72169" w:rsidRDefault="00E75E30" w:rsidP="00C72169">
            <w:pPr>
              <w:spacing w:line="380" w:lineRule="exact"/>
              <w:rPr>
                <w:rFonts w:cs="Times New Roman"/>
              </w:rPr>
            </w:pPr>
            <w:r w:rsidRPr="00C72169">
              <w:rPr>
                <w:rFonts w:cs="宋体" w:hint="eastAsia"/>
              </w:rPr>
              <w:t>学校评审意见</w:t>
            </w:r>
          </w:p>
        </w:tc>
        <w:tc>
          <w:tcPr>
            <w:tcW w:w="10566" w:type="dxa"/>
            <w:gridSpan w:val="2"/>
            <w:vAlign w:val="center"/>
          </w:tcPr>
          <w:p w:rsidR="00E75E30" w:rsidRPr="00C72169" w:rsidRDefault="00E75E30" w:rsidP="00C72169">
            <w:pPr>
              <w:spacing w:line="380" w:lineRule="exact"/>
              <w:rPr>
                <w:rFonts w:cs="Times New Roman"/>
              </w:rPr>
            </w:pPr>
          </w:p>
          <w:p w:rsidR="00E75E30" w:rsidRPr="00C72169" w:rsidRDefault="00E75E30" w:rsidP="00C72169">
            <w:pPr>
              <w:spacing w:line="380" w:lineRule="exact"/>
              <w:rPr>
                <w:rFonts w:cs="Times New Roman"/>
              </w:rPr>
            </w:pPr>
          </w:p>
          <w:p w:rsidR="00E75E30" w:rsidRPr="00C72169" w:rsidRDefault="00E75E30" w:rsidP="00C72169">
            <w:pPr>
              <w:spacing w:line="380" w:lineRule="exact"/>
              <w:rPr>
                <w:rFonts w:cs="Times New Roman"/>
              </w:rPr>
            </w:pPr>
          </w:p>
          <w:p w:rsidR="00E75E30" w:rsidRPr="00C72169" w:rsidRDefault="00E75E30" w:rsidP="00C72169">
            <w:pPr>
              <w:spacing w:line="380" w:lineRule="exact"/>
              <w:rPr>
                <w:rFonts w:cs="Times New Roman"/>
              </w:rPr>
            </w:pPr>
          </w:p>
        </w:tc>
        <w:tc>
          <w:tcPr>
            <w:tcW w:w="2405" w:type="dxa"/>
            <w:vAlign w:val="center"/>
          </w:tcPr>
          <w:p w:rsidR="00E75E30" w:rsidRPr="00C72169" w:rsidRDefault="00E75E30" w:rsidP="00C72169">
            <w:pPr>
              <w:spacing w:line="380" w:lineRule="exact"/>
              <w:jc w:val="center"/>
              <w:rPr>
                <w:rFonts w:cs="Times New Roman"/>
              </w:rPr>
            </w:pPr>
          </w:p>
        </w:tc>
      </w:tr>
    </w:tbl>
    <w:p w:rsidR="00E75E30" w:rsidRDefault="00E75E30">
      <w:pPr>
        <w:rPr>
          <w:rFonts w:cs="Times New Roman"/>
          <w:sz w:val="24"/>
          <w:szCs w:val="24"/>
        </w:rPr>
        <w:sectPr w:rsidR="00E75E30">
          <w:pgSz w:w="16838" w:h="11906" w:orient="landscape"/>
          <w:pgMar w:top="1247" w:right="1440" w:bottom="1077" w:left="1440" w:header="851" w:footer="992" w:gutter="0"/>
          <w:cols w:space="0"/>
          <w:docGrid w:type="lines" w:linePitch="318"/>
        </w:sectPr>
      </w:pPr>
    </w:p>
    <w:p w:rsidR="00E75E30" w:rsidRDefault="00E75E30" w:rsidP="00631696">
      <w:pPr>
        <w:rPr>
          <w:rFonts w:cs="Times New Roman"/>
        </w:rPr>
      </w:pPr>
    </w:p>
    <w:sectPr w:rsidR="00E75E30" w:rsidSect="00631696">
      <w:pgSz w:w="16838" w:h="11906" w:orient="landscape"/>
      <w:pgMar w:top="1418" w:right="1440" w:bottom="1247" w:left="1440" w:header="851" w:footer="992" w:gutter="0"/>
      <w:cols w:space="0"/>
      <w:docGrid w:type="lines" w:linePitch="31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7EC5C2A"/>
    <w:rsid w:val="000522CE"/>
    <w:rsid w:val="00103ED6"/>
    <w:rsid w:val="001C0ECC"/>
    <w:rsid w:val="00232A27"/>
    <w:rsid w:val="0053308F"/>
    <w:rsid w:val="00615AD6"/>
    <w:rsid w:val="00631696"/>
    <w:rsid w:val="0071141B"/>
    <w:rsid w:val="00716BD2"/>
    <w:rsid w:val="008C26ED"/>
    <w:rsid w:val="00933805"/>
    <w:rsid w:val="009C3B6A"/>
    <w:rsid w:val="00AC16E6"/>
    <w:rsid w:val="00B96339"/>
    <w:rsid w:val="00C72169"/>
    <w:rsid w:val="00E21EDF"/>
    <w:rsid w:val="00E75E30"/>
    <w:rsid w:val="01F11D7C"/>
    <w:rsid w:val="0447794A"/>
    <w:rsid w:val="054117F7"/>
    <w:rsid w:val="0603570A"/>
    <w:rsid w:val="07D72388"/>
    <w:rsid w:val="0B171377"/>
    <w:rsid w:val="0B3A4FE0"/>
    <w:rsid w:val="0D3566B5"/>
    <w:rsid w:val="0D4D3D47"/>
    <w:rsid w:val="0EE91BD0"/>
    <w:rsid w:val="102C384F"/>
    <w:rsid w:val="103C50DC"/>
    <w:rsid w:val="16E70013"/>
    <w:rsid w:val="19E8147E"/>
    <w:rsid w:val="1D772E65"/>
    <w:rsid w:val="1DD622B6"/>
    <w:rsid w:val="214A0EAE"/>
    <w:rsid w:val="26267B2E"/>
    <w:rsid w:val="311C111A"/>
    <w:rsid w:val="320E516B"/>
    <w:rsid w:val="32E126D8"/>
    <w:rsid w:val="34BA75F9"/>
    <w:rsid w:val="357B5466"/>
    <w:rsid w:val="3636093C"/>
    <w:rsid w:val="365807FE"/>
    <w:rsid w:val="37F96D66"/>
    <w:rsid w:val="382D556D"/>
    <w:rsid w:val="39EC20EB"/>
    <w:rsid w:val="3A481E85"/>
    <w:rsid w:val="3CAE21E2"/>
    <w:rsid w:val="3F584A27"/>
    <w:rsid w:val="43EC7294"/>
    <w:rsid w:val="44AD3578"/>
    <w:rsid w:val="474A36A3"/>
    <w:rsid w:val="49117C6C"/>
    <w:rsid w:val="4D29542C"/>
    <w:rsid w:val="4E8D6CB1"/>
    <w:rsid w:val="4F505DA6"/>
    <w:rsid w:val="521D2096"/>
    <w:rsid w:val="52A15AC5"/>
    <w:rsid w:val="55EB6B18"/>
    <w:rsid w:val="584B12AE"/>
    <w:rsid w:val="5A181B0A"/>
    <w:rsid w:val="5C51125A"/>
    <w:rsid w:val="5DBB2477"/>
    <w:rsid w:val="5E6E50F6"/>
    <w:rsid w:val="625A6A88"/>
    <w:rsid w:val="629338BB"/>
    <w:rsid w:val="62A01962"/>
    <w:rsid w:val="63291651"/>
    <w:rsid w:val="64653937"/>
    <w:rsid w:val="69A541FA"/>
    <w:rsid w:val="69B560A4"/>
    <w:rsid w:val="6BA16777"/>
    <w:rsid w:val="6CC7378D"/>
    <w:rsid w:val="6FD93A9F"/>
    <w:rsid w:val="71B676FC"/>
    <w:rsid w:val="725331F2"/>
    <w:rsid w:val="72D072AA"/>
    <w:rsid w:val="73706C62"/>
    <w:rsid w:val="757D1292"/>
    <w:rsid w:val="77EC5C2A"/>
    <w:rsid w:val="781E3EA1"/>
    <w:rsid w:val="78E5679A"/>
    <w:rsid w:val="7A2A11F2"/>
    <w:rsid w:val="7D525C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E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16E6"/>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164</Words>
  <Characters>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crystal</cp:lastModifiedBy>
  <cp:revision>5</cp:revision>
  <dcterms:created xsi:type="dcterms:W3CDTF">2016-04-06T05:47:00Z</dcterms:created>
  <dcterms:modified xsi:type="dcterms:W3CDTF">2016-04-14T01:49:00Z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