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EC4D0">
      <w:pPr>
        <w:keepNext/>
        <w:widowControl/>
        <w:spacing w:before="240" w:after="60"/>
        <w:jc w:val="left"/>
        <w:outlineLvl w:val="0"/>
        <w:rPr>
          <w:rFonts w:hint="eastAsia" w:ascii="黑体" w:hAnsi="黑体" w:eastAsia="黑体" w:cs="仿宋_GB2312"/>
          <w:kern w:val="32"/>
          <w:sz w:val="32"/>
          <w:szCs w:val="32"/>
        </w:rPr>
      </w:pPr>
      <w:bookmarkStart w:id="1" w:name="_GoBack"/>
      <w:bookmarkEnd w:id="1"/>
      <w:bookmarkStart w:id="0" w:name="Content"/>
      <w:r>
        <w:rPr>
          <w:rFonts w:hint="eastAsia" w:ascii="黑体" w:hAnsi="黑体" w:eastAsia="黑体" w:cs="仿宋_GB2312"/>
          <w:kern w:val="32"/>
          <w:sz w:val="32"/>
          <w:szCs w:val="32"/>
        </w:rPr>
        <w:t>附件1</w:t>
      </w:r>
    </w:p>
    <w:p w14:paraId="3B97D5A8">
      <w:pPr>
        <w:keepNext/>
        <w:widowControl/>
        <w:spacing w:before="240" w:after="60"/>
        <w:jc w:val="center"/>
        <w:outlineLvl w:val="0"/>
        <w:rPr>
          <w:rFonts w:ascii="Cambria" w:hAnsi="Cambria" w:cs="宋体"/>
          <w:b/>
          <w:bCs/>
          <w:kern w:val="32"/>
          <w:sz w:val="32"/>
          <w:szCs w:val="32"/>
        </w:rPr>
      </w:pPr>
      <w:r>
        <w:rPr>
          <w:rFonts w:hint="eastAsia" w:ascii="方正小标宋_GBK" w:hAnsi="方正小标宋_GBK" w:eastAsia="方正小标宋_GBK" w:cs="方正小标宋_GBK"/>
          <w:b/>
          <w:bCs/>
          <w:kern w:val="32"/>
          <w:sz w:val="36"/>
          <w:szCs w:val="36"/>
        </w:rPr>
        <w:t>中层干部年度考核网上测评使用说明</w:t>
      </w:r>
    </w:p>
    <w:p w14:paraId="5AF6BAA5">
      <w:pPr>
        <w:keepNext/>
        <w:widowControl/>
        <w:spacing w:before="240" w:after="60" w:line="540" w:lineRule="exact"/>
        <w:jc w:val="left"/>
        <w:outlineLvl w:val="1"/>
        <w:rPr>
          <w:rFonts w:hint="eastAsia" w:ascii="黑体" w:hAnsi="黑体" w:eastAsia="黑体" w:cs="黑体"/>
          <w:b/>
          <w:bCs/>
          <w:kern w:val="0"/>
          <w:sz w:val="28"/>
          <w:szCs w:val="28"/>
        </w:rPr>
      </w:pPr>
      <w:r>
        <w:rPr>
          <w:rFonts w:hint="eastAsia" w:ascii="黑体" w:hAnsi="黑体" w:eastAsia="黑体" w:cs="黑体"/>
          <w:b/>
          <w:bCs/>
          <w:kern w:val="0"/>
          <w:sz w:val="28"/>
          <w:szCs w:val="28"/>
        </w:rPr>
        <w:t>1. 登录</w:t>
      </w:r>
    </w:p>
    <w:p w14:paraId="49ABA4DA">
      <w:pPr>
        <w:spacing w:line="54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1.1</w:t>
      </w:r>
      <w:r>
        <w:rPr>
          <w:rFonts w:hint="eastAsia" w:ascii="仿宋_GB2312" w:hAnsi="仿宋_GB2312" w:eastAsia="仿宋_GB2312" w:cs="仿宋_GB2312"/>
          <w:sz w:val="28"/>
          <w:szCs w:val="28"/>
        </w:rPr>
        <w:t xml:space="preserve"> 在浏览器上输入内网地址：http://172.18.2.90，打开下图所示页面，点击带下划线的紫色字体“点击进入测评系统”进入下一个页面。</w:t>
      </w:r>
    </w:p>
    <w:p w14:paraId="06CC45AF">
      <w:pPr>
        <w:jc w:val="left"/>
        <w:rPr>
          <w:rFonts w:hint="eastAsia" w:eastAsia="宋体"/>
          <w:szCs w:val="24"/>
          <w:lang w:eastAsia="zh-CN"/>
        </w:rPr>
      </w:pPr>
      <w:r>
        <w:drawing>
          <wp:inline distT="0" distB="0" distL="114300" distR="114300">
            <wp:extent cx="5271770" cy="2045335"/>
            <wp:effectExtent l="0" t="0" r="508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1770" cy="2045335"/>
                    </a:xfrm>
                    <a:prstGeom prst="rect">
                      <a:avLst/>
                    </a:prstGeom>
                    <a:noFill/>
                    <a:ln>
                      <a:noFill/>
                    </a:ln>
                  </pic:spPr>
                </pic:pic>
              </a:graphicData>
            </a:graphic>
          </wp:inline>
        </w:drawing>
      </w:r>
      <w:r>
        <w:rPr>
          <w:szCs w:val="24"/>
        </w:rPr>
        <w:pict>
          <v:shape id="_x0000_s1026" o:spid="_x0000_s1026" o:spt="3" type="#_x0000_t3" style="position:absolute;left:0pt;margin-left:89.85pt;margin-top:68.55pt;height:28.9pt;width:177.7pt;z-index:251660288;mso-width-relative:page;mso-height-relative:page;" fillcolor="#FFFFFF" filled="t" stroked="t" coordsize="21600,21600">
            <v:path/>
            <v:fill on="t" color2="#FFFFFF" opacity="0f" focussize="0,0"/>
            <v:stroke color="#FF0000"/>
            <v:imagedata o:title=""/>
            <o:lock v:ext="edit" aspectratio="f"/>
            <v:textbox>
              <w:txbxContent>
                <w:p w14:paraId="5D0C4DB6"/>
              </w:txbxContent>
            </v:textbox>
          </v:shape>
        </w:pict>
      </w:r>
    </w:p>
    <w:p w14:paraId="75B96516">
      <w:pPr>
        <w:spacing w:line="520" w:lineRule="exact"/>
        <w:ind w:firstLine="562" w:firstLineChars="200"/>
        <w:rPr>
          <w:szCs w:val="24"/>
        </w:rPr>
      </w:pPr>
      <w:r>
        <w:rPr>
          <w:rFonts w:hint="eastAsia" w:ascii="仿宋_GB2312" w:hAnsi="仿宋_GB2312" w:eastAsia="仿宋_GB2312" w:cs="仿宋_GB2312"/>
          <w:b/>
          <w:bCs/>
          <w:sz w:val="28"/>
          <w:szCs w:val="28"/>
        </w:rPr>
        <w:t>1.2</w:t>
      </w:r>
      <w:r>
        <w:rPr>
          <w:rFonts w:hint="eastAsia" w:ascii="仿宋_GB2312" w:hAnsi="仿宋_GB2312" w:eastAsia="仿宋_GB2312" w:cs="仿宋_GB2312"/>
          <w:sz w:val="28"/>
          <w:szCs w:val="28"/>
        </w:rPr>
        <w:t>在本页面图片下方“测评密码”一栏中输入测评卡上的测评密码（请注意区分大小写字母）后点击进入测评系统。</w:t>
      </w:r>
    </w:p>
    <w:p w14:paraId="0EF3EA1E">
      <w:pPr>
        <w:ind w:firstLine="435"/>
        <w:rPr>
          <w:szCs w:val="24"/>
        </w:rPr>
      </w:pPr>
      <w:r>
        <w:rPr>
          <w:rFonts w:hint="eastAsia"/>
          <w:szCs w:val="24"/>
        </w:rPr>
        <w:pict>
          <v:shape id="_x0000_i1025" o:spt="75" type="#_x0000_t75" style="height:200.5pt;width:407.7pt;" filled="f" o:preferrelative="t" stroked="f" coordsize="21600,21600">
            <v:path/>
            <v:fill on="f" focussize="0,0"/>
            <v:stroke on="f"/>
            <v:imagedata r:id="rId9" o:title=""/>
            <o:lock v:ext="edit" aspectratio="t"/>
            <w10:wrap type="none"/>
            <w10:anchorlock/>
          </v:shape>
        </w:pict>
      </w:r>
      <w:r>
        <w:rPr>
          <w:szCs w:val="24"/>
        </w:rPr>
        <w:pict>
          <v:shape id="_x0000_s1027" o:spid="_x0000_s1027" o:spt="3" type="#_x0000_t3" style="position:absolute;left:0pt;margin-left:171.75pt;margin-top:175.8pt;height:23.4pt;width:135pt;z-index:251661312;mso-width-relative:page;mso-height-relative:page;" coordsize="21600,21600">
            <v:path/>
            <v:fill opacity="0f" focussize="0,0"/>
            <v:stroke color="#FF0000"/>
            <v:imagedata o:title=""/>
            <o:lock v:ext="edit" grouping="f" rotation="f" text="f" aspectratio="f"/>
            <v:textbox>
              <w:txbxContent>
                <w:p w14:paraId="43290054"/>
              </w:txbxContent>
            </v:textbox>
          </v:shape>
        </w:pict>
      </w:r>
    </w:p>
    <w:p w14:paraId="527882F4">
      <w:pPr>
        <w:ind w:firstLine="435"/>
        <w:rPr>
          <w:szCs w:val="24"/>
        </w:rPr>
      </w:pPr>
    </w:p>
    <w:p w14:paraId="17D1C8E6">
      <w:pPr>
        <w:ind w:firstLine="435"/>
        <w:rPr>
          <w:szCs w:val="24"/>
        </w:rPr>
      </w:pPr>
    </w:p>
    <w:p w14:paraId="36728D6C">
      <w:pPr>
        <w:rPr>
          <w:szCs w:val="24"/>
        </w:rPr>
      </w:pPr>
    </w:p>
    <w:p w14:paraId="594800D7">
      <w:pPr>
        <w:keepNext/>
        <w:keepLines w:val="0"/>
        <w:pageBreakBefore w:val="0"/>
        <w:widowControl/>
        <w:kinsoku/>
        <w:wordWrap/>
        <w:overflowPunct/>
        <w:topLinePunct w:val="0"/>
        <w:autoSpaceDE/>
        <w:autoSpaceDN/>
        <w:bidi w:val="0"/>
        <w:adjustRightInd/>
        <w:snapToGrid/>
        <w:spacing w:before="240" w:after="60" w:line="560" w:lineRule="exact"/>
        <w:jc w:val="left"/>
        <w:textAlignment w:val="auto"/>
        <w:outlineLvl w:val="1"/>
        <w:rPr>
          <w:rFonts w:hint="eastAsia" w:ascii="黑体" w:hAnsi="黑体" w:eastAsia="黑体" w:cs="黑体"/>
          <w:b/>
          <w:bCs/>
          <w:kern w:val="0"/>
          <w:sz w:val="28"/>
          <w:szCs w:val="28"/>
        </w:rPr>
      </w:pPr>
      <w:r>
        <w:rPr>
          <w:rFonts w:hint="eastAsia" w:ascii="黑体" w:hAnsi="黑体" w:eastAsia="黑体" w:cs="黑体"/>
          <w:b/>
          <w:bCs/>
          <w:kern w:val="0"/>
          <w:sz w:val="28"/>
          <w:szCs w:val="28"/>
        </w:rPr>
        <w:t>2．查看述职述廉报告和投票</w:t>
      </w:r>
    </w:p>
    <w:p w14:paraId="38EF66E3">
      <w:pPr>
        <w:keepLines w:val="0"/>
        <w:pageBreakBefore w:val="0"/>
        <w:kinsoku/>
        <w:wordWrap/>
        <w:overflowPunct/>
        <w:topLinePunct w:val="0"/>
        <w:autoSpaceDE/>
        <w:autoSpaceDN/>
        <w:bidi w:val="0"/>
        <w:adjustRightInd/>
        <w:snapToGrid/>
        <w:spacing w:line="560" w:lineRule="exact"/>
        <w:ind w:firstLine="560" w:firstLineChars="200"/>
        <w:textAlignment w:val="auto"/>
        <w:rPr>
          <w:szCs w:val="24"/>
        </w:rPr>
      </w:pPr>
      <w:r>
        <w:rPr>
          <w:rFonts w:hint="eastAsia" w:ascii="仿宋_GB2312" w:hAnsi="仿宋_GB2312" w:eastAsia="仿宋_GB2312" w:cs="仿宋_GB2312"/>
          <w:sz w:val="28"/>
          <w:szCs w:val="28"/>
        </w:rPr>
        <w:t>进入测评系统后可以看到被测评对象的姓名、职务和测评项目，每个测评对象的述职述廉报告可以点击名字后下载查阅。</w:t>
      </w:r>
    </w:p>
    <w:p w14:paraId="7B1C24AF">
      <w:pPr>
        <w:keepLines w:val="0"/>
        <w:pageBreakBefore w:val="0"/>
        <w:kinsoku/>
        <w:wordWrap/>
        <w:overflowPunct/>
        <w:topLinePunct w:val="0"/>
        <w:autoSpaceDE/>
        <w:autoSpaceDN/>
        <w:bidi w:val="0"/>
        <w:adjustRightInd/>
        <w:snapToGrid/>
        <w:spacing w:line="560" w:lineRule="exact"/>
        <w:ind w:firstLine="435"/>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2.1  </w:t>
      </w:r>
      <w:r>
        <w:rPr>
          <w:rFonts w:hint="eastAsia" w:ascii="仿宋_GB2312" w:hAnsi="仿宋_GB2312" w:eastAsia="仿宋_GB2312" w:cs="仿宋_GB2312"/>
          <w:sz w:val="28"/>
          <w:szCs w:val="28"/>
        </w:rPr>
        <w:t>测评分2种类型，第一类是校领导对全体中层干部的测评</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第二类是</w:t>
      </w:r>
      <w:r>
        <w:rPr>
          <w:rFonts w:hint="eastAsia" w:ascii="仿宋_GB2312" w:hAnsi="仿宋_GB2312" w:eastAsia="仿宋_GB2312" w:cs="仿宋_GB2312"/>
          <w:sz w:val="28"/>
          <w:szCs w:val="28"/>
          <w:lang w:eastAsia="zh-CN"/>
        </w:rPr>
        <w:t>学校基层民主测评，</w:t>
      </w:r>
      <w:r>
        <w:rPr>
          <w:rFonts w:hint="eastAsia" w:ascii="仿宋_GB2312" w:hAnsi="仿宋_GB2312" w:eastAsia="仿宋_GB2312" w:cs="仿宋_GB2312"/>
          <w:sz w:val="28"/>
          <w:szCs w:val="28"/>
        </w:rPr>
        <w:t>一般以各二级党组织为单位组织本单位（部门）全体人员对所属的中层干部进行的测评</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机关以党支部为单位组织本支部所含部门全体人员对支部的中层干部进行测评。其中，第一</w:t>
      </w:r>
      <w:r>
        <w:rPr>
          <w:rFonts w:hint="eastAsia" w:ascii="仿宋_GB2312" w:hAnsi="仿宋_GB2312" w:eastAsia="仿宋_GB2312" w:cs="仿宋_GB2312"/>
          <w:sz w:val="28"/>
          <w:szCs w:val="28"/>
          <w:lang w:eastAsia="zh-CN"/>
        </w:rPr>
        <w:t>类校领导</w:t>
      </w:r>
      <w:r>
        <w:rPr>
          <w:rFonts w:hint="eastAsia" w:ascii="仿宋_GB2312" w:hAnsi="仿宋_GB2312" w:eastAsia="仿宋_GB2312" w:cs="仿宋_GB2312"/>
          <w:sz w:val="28"/>
          <w:szCs w:val="28"/>
        </w:rPr>
        <w:t>需测评的领导干部数量较多，每次系统将按部门人员的序号取15个开始测评，测评完这15个就可以点击提交（提交后不能更改），再开始下一轮15人测评，直到完成所有人员投票。用户中途退出，以前提交的投票有效，再次登录可完成余下中层干部的投票，用户所有的投票结束之后将不能再登录，系统提示完成投票。</w:t>
      </w:r>
    </w:p>
    <w:p w14:paraId="4BE4565E">
      <w:pPr>
        <w:keepLines w:val="0"/>
        <w:pageBreakBefore w:val="0"/>
        <w:kinsoku/>
        <w:wordWrap/>
        <w:overflowPunct/>
        <w:topLinePunct w:val="0"/>
        <w:autoSpaceDE/>
        <w:autoSpaceDN/>
        <w:bidi w:val="0"/>
        <w:adjustRightInd/>
        <w:snapToGrid/>
        <w:spacing w:line="560" w:lineRule="exact"/>
        <w:ind w:firstLine="435"/>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2.2  </w:t>
      </w:r>
      <w:r>
        <w:rPr>
          <w:rFonts w:hint="eastAsia" w:ascii="仿宋_GB2312" w:hAnsi="仿宋_GB2312" w:eastAsia="仿宋_GB2312" w:cs="仿宋_GB2312"/>
          <w:sz w:val="28"/>
          <w:szCs w:val="28"/>
        </w:rPr>
        <w:t>每个测评者对测评对象分为五个方面（德、能、勤、绩、廉）测评，其中“德”对应测评分的20%，“能”对应测评分的20%，“勤”对应测评分的15%，“绩”对应测评分的30%，“廉”对应测评分的15%；五个方面分别在测评时不直接填写测评分数，只对应四个测评选项“好、较好、一般、差”，其中“好”对应分数为95分，“较好”对应分数为80分，“一般”对应分数为65分，“差”对应分数为50分。</w:t>
      </w:r>
    </w:p>
    <w:p w14:paraId="5D2064CE">
      <w:pPr>
        <w:keepLines w:val="0"/>
        <w:pageBreakBefore w:val="0"/>
        <w:kinsoku/>
        <w:wordWrap/>
        <w:overflowPunct/>
        <w:topLinePunct w:val="0"/>
        <w:autoSpaceDE/>
        <w:autoSpaceDN/>
        <w:bidi w:val="0"/>
        <w:adjustRightInd/>
        <w:snapToGrid/>
        <w:spacing w:line="560" w:lineRule="exact"/>
        <w:ind w:firstLine="435"/>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 xml:space="preserve">2.3 </w:t>
      </w: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b/>
          <w:sz w:val="28"/>
          <w:szCs w:val="28"/>
        </w:rPr>
        <w:t>每个测评对象如果五个方面全部测评为“好”或全部为“差”会自动计为废票。</w:t>
      </w:r>
    </w:p>
    <w:p w14:paraId="59CDBBD9">
      <w:pPr>
        <w:keepLines w:val="0"/>
        <w:pageBreakBefore w:val="0"/>
        <w:kinsoku/>
        <w:wordWrap/>
        <w:overflowPunct/>
        <w:topLinePunct w:val="0"/>
        <w:autoSpaceDE/>
        <w:autoSpaceDN/>
        <w:bidi w:val="0"/>
        <w:adjustRightInd/>
        <w:snapToGrid/>
        <w:spacing w:line="560" w:lineRule="exact"/>
        <w:ind w:firstLine="435"/>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pict>
          <v:shape id="_x0000_s1028" o:spid="_x0000_s1028" o:spt="75" type="#_x0000_t75" style="position:absolute;left:0pt;margin-left:46.1pt;margin-top:59.6pt;height:102.75pt;width:308.25pt;z-index:251662336;mso-width-relative:page;mso-height-relative:page;" filled="f" o:preferrelative="t" stroked="f" coordsize="21600,21600">
            <v:path/>
            <v:fill on="f" focussize="0,0"/>
            <v:stroke on="f"/>
            <v:imagedata r:id="rId10" o:title=""/>
            <o:lock v:ext="edit" aspectratio="t"/>
          </v:shape>
        </w:pict>
      </w:r>
      <w:r>
        <w:rPr>
          <w:rFonts w:hint="eastAsia" w:ascii="仿宋_GB2312" w:hAnsi="仿宋_GB2312" w:eastAsia="仿宋_GB2312" w:cs="仿宋_GB2312"/>
          <w:b/>
          <w:bCs/>
          <w:sz w:val="28"/>
          <w:szCs w:val="28"/>
        </w:rPr>
        <w:t xml:space="preserve">2.4  </w:t>
      </w:r>
      <w:r>
        <w:rPr>
          <w:rFonts w:hint="eastAsia" w:ascii="仿宋_GB2312" w:hAnsi="仿宋_GB2312" w:eastAsia="仿宋_GB2312" w:cs="仿宋_GB2312"/>
          <w:sz w:val="28"/>
          <w:szCs w:val="28"/>
        </w:rPr>
        <w:t>测评结束后请记得签名，签名仅用于记录是否投票以及代表测评投票结束。</w:t>
      </w:r>
    </w:p>
    <w:p w14:paraId="3D06201B">
      <w:pPr>
        <w:ind w:firstLine="435"/>
        <w:rPr>
          <w:szCs w:val="24"/>
        </w:rPr>
      </w:pPr>
    </w:p>
    <w:p w14:paraId="0711EF8F">
      <w:pPr>
        <w:rPr>
          <w:szCs w:val="24"/>
        </w:rPr>
      </w:pPr>
    </w:p>
    <w:p w14:paraId="1FD70D9E">
      <w:pPr>
        <w:keepNext/>
        <w:widowControl/>
        <w:spacing w:before="240" w:after="60"/>
        <w:jc w:val="left"/>
        <w:outlineLvl w:val="0"/>
        <w:rPr>
          <w:rFonts w:hint="eastAsia" w:ascii="仿宋_GB2312" w:hAnsi="仿宋_GB2312" w:eastAsia="仿宋_GB2312" w:cs="仿宋_GB2312"/>
          <w:kern w:val="32"/>
          <w:sz w:val="32"/>
          <w:szCs w:val="32"/>
        </w:rPr>
        <w:sectPr>
          <w:headerReference r:id="rId3" w:type="default"/>
          <w:footerReference r:id="rId4" w:type="default"/>
          <w:pgSz w:w="11906" w:h="16838"/>
          <w:pgMar w:top="1440" w:right="1797" w:bottom="1440" w:left="1797" w:header="851" w:footer="992" w:gutter="0"/>
          <w:pgNumType w:fmt="numberInDash"/>
          <w:cols w:space="720" w:num="1"/>
          <w:docGrid w:type="lines" w:linePitch="312" w:charSpace="0"/>
        </w:sectPr>
      </w:pPr>
    </w:p>
    <w:p w14:paraId="5D2D4B37">
      <w:pPr>
        <w:spacing w:line="560" w:lineRule="exact"/>
        <w:rPr>
          <w:rFonts w:hint="eastAsia" w:ascii="黑体" w:hAnsi="黑体" w:eastAsia="黑体" w:cs="仿宋_GB2312"/>
          <w:bCs/>
          <w:sz w:val="32"/>
          <w:szCs w:val="32"/>
        </w:rPr>
      </w:pPr>
      <w:r>
        <w:rPr>
          <w:rFonts w:hint="eastAsia" w:ascii="黑体" w:hAnsi="黑体" w:eastAsia="黑体" w:cs="仿宋_GB2312"/>
          <w:bCs/>
          <w:sz w:val="32"/>
          <w:szCs w:val="32"/>
        </w:rPr>
        <w:t>附件2</w:t>
      </w:r>
    </w:p>
    <w:p w14:paraId="20AD8440">
      <w:pPr>
        <w:rPr>
          <w:rFonts w:hint="eastAsia"/>
        </w:rPr>
      </w:pPr>
    </w:p>
    <w:p w14:paraId="00B49D38">
      <w:pPr>
        <w:spacing w:line="560" w:lineRule="exact"/>
        <w:jc w:val="center"/>
        <w:rPr>
          <w:rFonts w:hint="eastAsia" w:ascii="方正小标宋简体" w:hAnsi="宋体" w:eastAsia="方正小标宋简体" w:cs="黑体"/>
          <w:bCs/>
          <w:sz w:val="44"/>
          <w:szCs w:val="44"/>
        </w:rPr>
      </w:pPr>
      <w:r>
        <w:rPr>
          <w:rFonts w:hint="eastAsia" w:ascii="方正小标宋简体" w:hAnsi="宋体" w:eastAsia="方正小标宋简体" w:cs="黑体"/>
          <w:bCs/>
          <w:sz w:val="44"/>
          <w:szCs w:val="44"/>
        </w:rPr>
        <w:t>邵阳学院中层干部年度考核办法</w:t>
      </w:r>
    </w:p>
    <w:p w14:paraId="6E1D154D">
      <w:pPr>
        <w:spacing w:line="560" w:lineRule="exact"/>
        <w:jc w:val="center"/>
        <w:rPr>
          <w:rFonts w:hint="eastAsia" w:ascii="方正小标宋简体" w:hAnsi="宋体" w:eastAsia="方正小标宋简体" w:cs="黑体"/>
          <w:bCs/>
          <w:sz w:val="32"/>
          <w:szCs w:val="32"/>
        </w:rPr>
      </w:pPr>
      <w:r>
        <w:rPr>
          <w:rFonts w:hint="eastAsia" w:ascii="方正小标宋简体" w:hAnsi="宋体" w:eastAsia="方正小标宋简体" w:cs="黑体"/>
          <w:bCs/>
          <w:sz w:val="32"/>
          <w:szCs w:val="32"/>
        </w:rPr>
        <w:t>（试 行）</w:t>
      </w:r>
    </w:p>
    <w:p w14:paraId="22DBB9F5">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第一章   考核原则</w:t>
      </w:r>
    </w:p>
    <w:p w14:paraId="2B9C9F0F">
      <w:pPr>
        <w:spacing w:line="580" w:lineRule="exact"/>
        <w:ind w:firstLine="643" w:firstLineChars="200"/>
        <w:rPr>
          <w:rFonts w:hint="eastAsia" w:ascii="仿宋" w:hAnsi="仿宋" w:eastAsia="仿宋"/>
          <w:sz w:val="32"/>
          <w:szCs w:val="32"/>
        </w:rPr>
      </w:pPr>
      <w:r>
        <w:rPr>
          <w:rFonts w:hint="eastAsia" w:ascii="仿宋_GB2312" w:hAnsi="仿宋" w:eastAsia="仿宋_GB2312"/>
          <w:b/>
          <w:sz w:val="32"/>
          <w:szCs w:val="32"/>
        </w:rPr>
        <w:t>第一条</w:t>
      </w:r>
      <w:r>
        <w:rPr>
          <w:rFonts w:hint="eastAsia" w:ascii="仿宋" w:hAnsi="仿宋" w:eastAsia="仿宋"/>
          <w:b/>
          <w:sz w:val="32"/>
          <w:szCs w:val="32"/>
        </w:rPr>
        <w:t xml:space="preserve"> </w:t>
      </w:r>
      <w:r>
        <w:rPr>
          <w:rFonts w:hint="eastAsia" w:ascii="仿宋" w:hAnsi="仿宋" w:eastAsia="仿宋"/>
          <w:sz w:val="32"/>
          <w:szCs w:val="32"/>
        </w:rPr>
        <w:t xml:space="preserve"> 为认真贯彻落实习近平新时代中国特色社会主义思想，落实全面从严治党要求，树立正确用人导向，建立科学的干部考核评价机制，加大对中层干部培养教育、管理监督的力度，积极推进干部队伍建设，根据《党政领导干部选拔任用工作条例》《党政领导干部考核工作条例》《中国共产党组织处理规定》《加强受组织处理纪律处分领导干部管理实施意见（试行）》等有关文件精神，结合我校实际情况，特制定本办法。</w:t>
      </w:r>
    </w:p>
    <w:p w14:paraId="57C2DE8F">
      <w:pPr>
        <w:spacing w:line="580" w:lineRule="exact"/>
        <w:ind w:firstLine="643" w:firstLineChars="200"/>
        <w:rPr>
          <w:rFonts w:hint="eastAsia" w:ascii="仿宋" w:hAnsi="仿宋" w:eastAsia="仿宋"/>
          <w:sz w:val="32"/>
          <w:szCs w:val="32"/>
        </w:rPr>
      </w:pPr>
      <w:r>
        <w:rPr>
          <w:rFonts w:hint="eastAsia" w:ascii="仿宋_GB2312" w:hAnsi="仿宋" w:eastAsia="仿宋_GB2312"/>
          <w:b/>
          <w:sz w:val="32"/>
          <w:szCs w:val="32"/>
        </w:rPr>
        <w:t>第二条</w:t>
      </w:r>
      <w:r>
        <w:rPr>
          <w:rFonts w:hint="eastAsia" w:ascii="仿宋" w:hAnsi="仿宋" w:eastAsia="仿宋"/>
          <w:b/>
          <w:bCs/>
          <w:sz w:val="32"/>
          <w:szCs w:val="32"/>
        </w:rPr>
        <w:t xml:space="preserve">  </w:t>
      </w:r>
      <w:r>
        <w:rPr>
          <w:rFonts w:hint="eastAsia" w:ascii="仿宋" w:hAnsi="仿宋" w:eastAsia="仿宋"/>
          <w:sz w:val="32"/>
          <w:szCs w:val="32"/>
        </w:rPr>
        <w:t xml:space="preserve">干部考核须坚持以下原则：  </w:t>
      </w:r>
    </w:p>
    <w:p w14:paraId="62641EC7">
      <w:pPr>
        <w:spacing w:line="580" w:lineRule="exact"/>
        <w:ind w:firstLine="640" w:firstLineChars="200"/>
        <w:rPr>
          <w:rFonts w:hint="eastAsia" w:ascii="仿宋" w:hAnsi="仿宋" w:eastAsia="仿宋"/>
          <w:sz w:val="32"/>
          <w:szCs w:val="32"/>
        </w:rPr>
      </w:pPr>
      <w:r>
        <w:rPr>
          <w:rFonts w:hint="eastAsia" w:ascii="仿宋" w:hAnsi="仿宋" w:eastAsia="仿宋"/>
          <w:sz w:val="32"/>
          <w:szCs w:val="32"/>
        </w:rPr>
        <w:t>（一）突出政治原则。始终把政治标准放在首位，突出考核中层干部的政治忠诚和政治定力、牢固树立“四个意识”、增强“四个自信”、做到“两个维护”，全面贯彻党的路线方针政策，坚决执行学校党委行政决定的情况。</w:t>
      </w:r>
    </w:p>
    <w:p w14:paraId="245EC0EC">
      <w:pPr>
        <w:spacing w:line="580" w:lineRule="exact"/>
        <w:ind w:firstLine="640" w:firstLineChars="200"/>
        <w:rPr>
          <w:rFonts w:hint="eastAsia" w:ascii="仿宋" w:hAnsi="仿宋" w:eastAsia="仿宋"/>
          <w:sz w:val="32"/>
          <w:szCs w:val="32"/>
        </w:rPr>
      </w:pPr>
      <w:r>
        <w:rPr>
          <w:rFonts w:hint="eastAsia" w:ascii="仿宋" w:hAnsi="仿宋" w:eastAsia="仿宋"/>
          <w:sz w:val="32"/>
          <w:szCs w:val="32"/>
        </w:rPr>
        <w:t>（二）注重实绩原则。在对中层干部的 “德、能、勤、绩、廉”五个方面进行全面考核的基础上，以考核履行岗位职责的情况和工作实绩为主。</w:t>
      </w:r>
    </w:p>
    <w:p w14:paraId="50C073E1">
      <w:pPr>
        <w:spacing w:line="580" w:lineRule="exact"/>
        <w:ind w:firstLine="640" w:firstLineChars="200"/>
        <w:rPr>
          <w:rFonts w:hint="eastAsia" w:ascii="仿宋" w:hAnsi="仿宋" w:eastAsia="仿宋"/>
          <w:sz w:val="32"/>
          <w:szCs w:val="32"/>
        </w:rPr>
      </w:pPr>
      <w:r>
        <w:rPr>
          <w:rFonts w:hint="eastAsia" w:ascii="仿宋" w:hAnsi="仿宋" w:eastAsia="仿宋"/>
          <w:sz w:val="32"/>
          <w:szCs w:val="32"/>
        </w:rPr>
        <w:t>（三）定性与定量相结合原则。全面把握影响干部考核结果的各种条件因素，增强考核结果的准确性。</w:t>
      </w:r>
    </w:p>
    <w:p w14:paraId="4D051E1D">
      <w:pPr>
        <w:spacing w:line="580" w:lineRule="exact"/>
        <w:ind w:firstLine="640" w:firstLineChars="200"/>
        <w:rPr>
          <w:rFonts w:hint="eastAsia" w:ascii="仿宋" w:hAnsi="仿宋" w:eastAsia="仿宋"/>
          <w:sz w:val="32"/>
          <w:szCs w:val="32"/>
        </w:rPr>
      </w:pPr>
      <w:r>
        <w:rPr>
          <w:rFonts w:hint="eastAsia" w:ascii="仿宋" w:hAnsi="仿宋" w:eastAsia="仿宋"/>
          <w:sz w:val="32"/>
          <w:szCs w:val="32"/>
        </w:rPr>
        <w:t>（四）客观公正原则。科学分析，突出重点，全面准确地考核评价干部，根据考核的条件和标准，实事求是，客观公正地对中层干部做出恰如其分的评价。</w:t>
      </w:r>
    </w:p>
    <w:p w14:paraId="6288C0B8">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第二章 考核对象</w:t>
      </w:r>
    </w:p>
    <w:p w14:paraId="4320FBC7">
      <w:pPr>
        <w:spacing w:line="580" w:lineRule="exact"/>
        <w:ind w:firstLine="643" w:firstLineChars="200"/>
        <w:rPr>
          <w:rFonts w:hint="eastAsia" w:ascii="仿宋" w:hAnsi="仿宋" w:eastAsia="仿宋"/>
          <w:sz w:val="32"/>
          <w:szCs w:val="32"/>
        </w:rPr>
      </w:pPr>
      <w:r>
        <w:rPr>
          <w:rFonts w:hint="eastAsia" w:ascii="仿宋_GB2312" w:hAnsi="仿宋" w:eastAsia="仿宋_GB2312"/>
          <w:b/>
          <w:sz w:val="32"/>
          <w:szCs w:val="32"/>
        </w:rPr>
        <w:t>第三条</w:t>
      </w:r>
      <w:r>
        <w:rPr>
          <w:rFonts w:hint="eastAsia" w:ascii="仿宋" w:hAnsi="仿宋" w:eastAsia="仿宋"/>
          <w:sz w:val="32"/>
          <w:szCs w:val="32"/>
        </w:rPr>
        <w:t xml:space="preserve">  本办法是年度综合考核办法，考核对象是全校任现职的所有中层干部。兼任两个及以上职务的干部，根据其最高职务或担负主要工作的职务进行考核。</w:t>
      </w:r>
    </w:p>
    <w:p w14:paraId="60E0BCAD">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第三章 考核内容</w:t>
      </w:r>
    </w:p>
    <w:p w14:paraId="56A54301">
      <w:pPr>
        <w:spacing w:line="580" w:lineRule="exact"/>
        <w:ind w:firstLine="602"/>
        <w:rPr>
          <w:rFonts w:hint="eastAsia" w:ascii="仿宋" w:hAnsi="仿宋" w:eastAsia="仿宋"/>
          <w:sz w:val="32"/>
          <w:szCs w:val="32"/>
        </w:rPr>
      </w:pPr>
      <w:r>
        <w:rPr>
          <w:rFonts w:hint="eastAsia" w:ascii="仿宋_GB2312" w:hAnsi="仿宋" w:eastAsia="仿宋_GB2312"/>
          <w:b/>
          <w:sz w:val="32"/>
          <w:szCs w:val="32"/>
        </w:rPr>
        <w:t xml:space="preserve">第四条 </w:t>
      </w:r>
      <w:r>
        <w:rPr>
          <w:rFonts w:hint="eastAsia" w:ascii="仿宋" w:hAnsi="仿宋" w:eastAsia="仿宋"/>
          <w:sz w:val="32"/>
          <w:szCs w:val="32"/>
        </w:rPr>
        <w:t xml:space="preserve"> 考核内容主要分为德、能、勤、绩、廉五个方面。</w:t>
      </w:r>
    </w:p>
    <w:p w14:paraId="3EED6C0F">
      <w:pPr>
        <w:spacing w:line="580" w:lineRule="exact"/>
        <w:ind w:firstLine="602"/>
        <w:rPr>
          <w:rFonts w:hint="eastAsia" w:ascii="仿宋" w:hAnsi="仿宋" w:eastAsia="仿宋"/>
          <w:sz w:val="32"/>
          <w:szCs w:val="32"/>
        </w:rPr>
      </w:pPr>
      <w:r>
        <w:rPr>
          <w:rFonts w:hint="eastAsia" w:ascii="仿宋" w:hAnsi="仿宋" w:eastAsia="仿宋"/>
          <w:sz w:val="32"/>
          <w:szCs w:val="32"/>
        </w:rPr>
        <w:t>（一）德（20分）：指政治忠诚、政治定力、精神状态和工作作风等。主要包括：思想政治素质；团结协作精神和全局观念；民主作风、群众观念；个人修养、道德品质以及遵守法律法规，严格依法治校等方面。</w:t>
      </w:r>
    </w:p>
    <w:p w14:paraId="0505DFF6">
      <w:pPr>
        <w:spacing w:line="580" w:lineRule="exact"/>
        <w:ind w:firstLine="602"/>
        <w:rPr>
          <w:rFonts w:hint="eastAsia" w:ascii="仿宋" w:hAnsi="仿宋" w:eastAsia="仿宋"/>
          <w:sz w:val="32"/>
          <w:szCs w:val="32"/>
        </w:rPr>
      </w:pPr>
      <w:r>
        <w:rPr>
          <w:rFonts w:hint="eastAsia" w:ascii="仿宋" w:hAnsi="仿宋" w:eastAsia="仿宋"/>
          <w:sz w:val="32"/>
          <w:szCs w:val="32"/>
        </w:rPr>
        <w:t>（二）能（20分）：指工作能力、政策水平、业务专长、服务水平等。主要包括：政策水平与管理水平；决策与组织实施能力；开拓进取、创新能力和执行力等方面。</w:t>
      </w:r>
    </w:p>
    <w:p w14:paraId="338C3E54">
      <w:pPr>
        <w:spacing w:line="580" w:lineRule="exact"/>
        <w:ind w:firstLine="602"/>
        <w:rPr>
          <w:rFonts w:hint="eastAsia" w:ascii="仿宋" w:hAnsi="仿宋" w:eastAsia="仿宋"/>
          <w:sz w:val="32"/>
          <w:szCs w:val="32"/>
        </w:rPr>
      </w:pPr>
      <w:r>
        <w:rPr>
          <w:rFonts w:hint="eastAsia" w:ascii="仿宋" w:hAnsi="仿宋" w:eastAsia="仿宋"/>
          <w:sz w:val="32"/>
          <w:szCs w:val="32"/>
        </w:rPr>
        <w:t>（三）勤（15分）：是指工作态度、工作纪律和爱岗敬业的表现。主要包括：事业心、责任感和奉献精神；精力的投入；办事效率及劳动纪律等方面。</w:t>
      </w:r>
    </w:p>
    <w:p w14:paraId="0ACB2E0F">
      <w:pPr>
        <w:spacing w:line="580" w:lineRule="exact"/>
        <w:ind w:firstLine="602"/>
        <w:rPr>
          <w:rFonts w:hint="eastAsia" w:ascii="仿宋" w:hAnsi="仿宋" w:eastAsia="仿宋"/>
          <w:sz w:val="32"/>
          <w:szCs w:val="32"/>
        </w:rPr>
      </w:pPr>
      <w:r>
        <w:rPr>
          <w:rFonts w:hint="eastAsia" w:ascii="仿宋" w:hAnsi="仿宋" w:eastAsia="仿宋"/>
          <w:sz w:val="32"/>
          <w:szCs w:val="32"/>
        </w:rPr>
        <w:t>（四）绩（30分）：指完成工作的数量、质量、效率、效益以及突出的工作成绩和贡献（“双肩挑”的干部包含本人教学和科研情况），特别是岗位目标责任制的完成情况等方面。</w:t>
      </w:r>
    </w:p>
    <w:p w14:paraId="3F6DFF89">
      <w:pPr>
        <w:spacing w:line="580" w:lineRule="exact"/>
        <w:ind w:firstLine="602"/>
        <w:rPr>
          <w:rFonts w:hint="eastAsia" w:ascii="仿宋" w:hAnsi="仿宋" w:eastAsia="仿宋"/>
          <w:sz w:val="32"/>
          <w:szCs w:val="32"/>
        </w:rPr>
      </w:pPr>
      <w:r>
        <w:rPr>
          <w:rFonts w:hint="eastAsia" w:ascii="仿宋" w:hAnsi="仿宋" w:eastAsia="仿宋"/>
          <w:sz w:val="32"/>
          <w:szCs w:val="32"/>
        </w:rPr>
        <w:t>（五）廉（15分）：指廉洁自律，包括执行廉洁准则和纪律，落实党风廉政建设责任制等，重点是执行上级纪检监察部门和学校纪检部门有关规定的情况。</w:t>
      </w:r>
    </w:p>
    <w:p w14:paraId="54575A9C">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第四章 考核方法与步骤</w:t>
      </w:r>
    </w:p>
    <w:p w14:paraId="115361F3">
      <w:pPr>
        <w:spacing w:line="580" w:lineRule="exact"/>
        <w:ind w:firstLine="600"/>
        <w:rPr>
          <w:rFonts w:hint="eastAsia" w:ascii="仿宋" w:hAnsi="仿宋" w:eastAsia="仿宋" w:cs="Arial"/>
          <w:sz w:val="32"/>
          <w:szCs w:val="32"/>
        </w:rPr>
      </w:pPr>
      <w:r>
        <w:rPr>
          <w:rFonts w:hint="eastAsia" w:ascii="仿宋_GB2312" w:hAnsi="仿宋" w:eastAsia="仿宋_GB2312"/>
          <w:b/>
          <w:sz w:val="32"/>
          <w:szCs w:val="32"/>
        </w:rPr>
        <w:t>第五条</w:t>
      </w:r>
      <w:r>
        <w:rPr>
          <w:rFonts w:hint="eastAsia" w:ascii="仿宋" w:hAnsi="仿宋" w:eastAsia="仿宋" w:cs="Arial"/>
          <w:sz w:val="32"/>
          <w:szCs w:val="32"/>
        </w:rPr>
        <w:t xml:space="preserve">  述职述廉</w:t>
      </w:r>
    </w:p>
    <w:p w14:paraId="52ABEEF7">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全体中层干部撰写本人年度述职述廉报告。述职述廉报告统一放置在中层干部年度考核网上测评系统，供广大教职员工参阅。</w:t>
      </w:r>
    </w:p>
    <w:p w14:paraId="36D127A6">
      <w:pPr>
        <w:spacing w:line="580" w:lineRule="exact"/>
        <w:rPr>
          <w:rFonts w:hint="eastAsia" w:ascii="仿宋" w:hAnsi="仿宋" w:eastAsia="仿宋" w:cs="Arial"/>
          <w:sz w:val="32"/>
          <w:szCs w:val="32"/>
        </w:rPr>
      </w:pPr>
      <w:r>
        <w:rPr>
          <w:rFonts w:hint="eastAsia" w:ascii="仿宋" w:hAnsi="仿宋" w:eastAsia="仿宋" w:cs="Arial"/>
          <w:sz w:val="32"/>
          <w:szCs w:val="32"/>
        </w:rPr>
        <w:t xml:space="preserve">    </w:t>
      </w:r>
      <w:r>
        <w:rPr>
          <w:rFonts w:hint="eastAsia" w:ascii="仿宋_GB2312" w:hAnsi="仿宋" w:eastAsia="仿宋_GB2312"/>
          <w:b/>
          <w:sz w:val="32"/>
          <w:szCs w:val="32"/>
        </w:rPr>
        <w:t>第六条</w:t>
      </w:r>
      <w:r>
        <w:rPr>
          <w:rFonts w:hint="eastAsia" w:ascii="仿宋" w:hAnsi="仿宋" w:eastAsia="仿宋" w:cs="Arial"/>
          <w:sz w:val="32"/>
          <w:szCs w:val="32"/>
        </w:rPr>
        <w:t xml:space="preserve">  民主测评</w:t>
      </w:r>
    </w:p>
    <w:p w14:paraId="2EA4C2B9">
      <w:pPr>
        <w:spacing w:line="580" w:lineRule="exact"/>
        <w:ind w:firstLine="600"/>
        <w:rPr>
          <w:rFonts w:ascii="仿宋" w:hAnsi="仿宋" w:eastAsia="仿宋" w:cs="Arial"/>
          <w:sz w:val="32"/>
          <w:szCs w:val="32"/>
        </w:rPr>
      </w:pPr>
      <w:r>
        <w:rPr>
          <w:rFonts w:hint="eastAsia" w:ascii="仿宋" w:hAnsi="仿宋" w:eastAsia="仿宋" w:cs="Arial"/>
          <w:sz w:val="32"/>
          <w:szCs w:val="32"/>
        </w:rPr>
        <w:t>对中层干部在规定时间内进行民主测评，民主测评从以下两个方面进行：</w:t>
      </w:r>
    </w:p>
    <w:p w14:paraId="3F2F28EE">
      <w:pPr>
        <w:spacing w:line="580" w:lineRule="exact"/>
        <w:ind w:firstLine="600"/>
        <w:rPr>
          <w:rFonts w:ascii="仿宋" w:hAnsi="仿宋" w:eastAsia="仿宋"/>
          <w:sz w:val="32"/>
          <w:szCs w:val="32"/>
        </w:rPr>
      </w:pPr>
      <w:r>
        <w:rPr>
          <w:rFonts w:hint="eastAsia" w:ascii="仿宋" w:hAnsi="仿宋" w:eastAsia="仿宋" w:cs="Arial"/>
          <w:sz w:val="32"/>
          <w:szCs w:val="32"/>
        </w:rPr>
        <w:t>（</w:t>
      </w:r>
      <w:r>
        <w:rPr>
          <w:rFonts w:hint="eastAsia" w:ascii="仿宋" w:hAnsi="仿宋" w:eastAsia="仿宋"/>
          <w:sz w:val="32"/>
          <w:szCs w:val="32"/>
        </w:rPr>
        <w:t>一）学校领导民主测评：校领导对全校中层干部进行的测评。</w:t>
      </w:r>
    </w:p>
    <w:p w14:paraId="66F469E6">
      <w:pPr>
        <w:spacing w:line="580" w:lineRule="exact"/>
        <w:ind w:firstLine="600"/>
        <w:rPr>
          <w:rFonts w:hint="eastAsia" w:ascii="仿宋" w:hAnsi="仿宋" w:eastAsia="仿宋" w:cs="Arial"/>
          <w:sz w:val="32"/>
          <w:szCs w:val="32"/>
        </w:rPr>
      </w:pPr>
      <w:r>
        <w:rPr>
          <w:rFonts w:hint="eastAsia" w:ascii="仿宋" w:hAnsi="仿宋" w:eastAsia="仿宋"/>
          <w:sz w:val="32"/>
          <w:szCs w:val="32"/>
        </w:rPr>
        <w:t xml:space="preserve">（二）学校基层民主测评：一般以各二级党组织为单位组织本单位（部门）全体人员对所属的中层干部进行的测评。机关以党支部为单位组织本支部所含部门全体人员对支部的中层干部进行测评。 </w:t>
      </w:r>
      <w:r>
        <w:rPr>
          <w:rFonts w:hint="eastAsia" w:ascii="仿宋" w:hAnsi="仿宋" w:eastAsia="仿宋" w:cs="Arial"/>
          <w:bCs/>
          <w:spacing w:val="-8"/>
          <w:sz w:val="32"/>
          <w:szCs w:val="32"/>
        </w:rPr>
        <w:t>被考核的中层干部测评得分为所有参加测评人员评分的平均分。</w:t>
      </w:r>
    </w:p>
    <w:p w14:paraId="2E922B13">
      <w:pPr>
        <w:spacing w:line="580" w:lineRule="exact"/>
        <w:ind w:firstLine="600"/>
        <w:rPr>
          <w:rFonts w:hint="eastAsia" w:ascii="仿宋" w:hAnsi="仿宋" w:eastAsia="仿宋" w:cs="Arial"/>
          <w:sz w:val="32"/>
          <w:szCs w:val="32"/>
        </w:rPr>
      </w:pPr>
      <w:r>
        <w:rPr>
          <w:rFonts w:hint="eastAsia" w:ascii="仿宋_GB2312" w:hAnsi="仿宋" w:eastAsia="仿宋_GB2312"/>
          <w:b/>
          <w:sz w:val="32"/>
          <w:szCs w:val="32"/>
        </w:rPr>
        <w:t>第七条</w:t>
      </w:r>
      <w:r>
        <w:rPr>
          <w:rFonts w:hint="eastAsia" w:ascii="仿宋" w:hAnsi="仿宋" w:eastAsia="仿宋" w:cs="Arial"/>
          <w:sz w:val="32"/>
          <w:szCs w:val="32"/>
        </w:rPr>
        <w:t xml:space="preserve">  部门考核</w:t>
      </w:r>
    </w:p>
    <w:p w14:paraId="7C498810">
      <w:pPr>
        <w:spacing w:line="580" w:lineRule="exact"/>
        <w:ind w:firstLine="600"/>
        <w:rPr>
          <w:rFonts w:hint="eastAsia" w:ascii="仿宋" w:hAnsi="仿宋" w:eastAsia="仿宋" w:cs="Arial"/>
          <w:bCs/>
          <w:sz w:val="32"/>
          <w:szCs w:val="32"/>
        </w:rPr>
      </w:pPr>
      <w:r>
        <w:rPr>
          <w:rFonts w:hint="eastAsia" w:ascii="仿宋" w:hAnsi="仿宋" w:eastAsia="仿宋" w:cs="Arial"/>
          <w:sz w:val="32"/>
          <w:szCs w:val="32"/>
        </w:rPr>
        <w:t>按照邵阳学院目标管理考核办法执行，运用各部门、单位在年度目标管理考核中所得分数。</w:t>
      </w:r>
      <w:r>
        <w:rPr>
          <w:rFonts w:hint="eastAsia" w:ascii="仿宋" w:hAnsi="仿宋" w:eastAsia="仿宋" w:cs="Arial"/>
          <w:bCs/>
          <w:sz w:val="32"/>
          <w:szCs w:val="32"/>
        </w:rPr>
        <w:t>部门考核侧重工作实际的考核，其考核结果同干部个人年度考核挂钩。</w:t>
      </w:r>
    </w:p>
    <w:p w14:paraId="5DB3909D">
      <w:pPr>
        <w:spacing w:line="580" w:lineRule="exact"/>
        <w:ind w:firstLine="640" w:firstLineChars="200"/>
        <w:rPr>
          <w:rFonts w:hint="eastAsia" w:ascii="仿宋" w:hAnsi="仿宋" w:eastAsia="仿宋" w:cs="Arial"/>
          <w:bCs/>
          <w:sz w:val="32"/>
          <w:szCs w:val="32"/>
        </w:rPr>
      </w:pPr>
      <w:r>
        <w:rPr>
          <w:rFonts w:hint="eastAsia" w:ascii="仿宋" w:hAnsi="仿宋" w:eastAsia="仿宋" w:cs="Arial"/>
          <w:bCs/>
          <w:sz w:val="32"/>
          <w:szCs w:val="32"/>
        </w:rPr>
        <w:t>（一）教学单位中层干部，单位考核结果按以下标准计算：</w:t>
      </w:r>
    </w:p>
    <w:p w14:paraId="796A1840">
      <w:pPr>
        <w:spacing w:line="580" w:lineRule="exact"/>
        <w:ind w:firstLine="640" w:firstLineChars="200"/>
        <w:rPr>
          <w:rFonts w:hint="eastAsia" w:ascii="仿宋" w:hAnsi="仿宋" w:eastAsia="仿宋" w:cs="Arial"/>
          <w:bCs/>
          <w:sz w:val="32"/>
          <w:szCs w:val="32"/>
        </w:rPr>
      </w:pPr>
      <w:r>
        <w:rPr>
          <w:rFonts w:hint="eastAsia" w:ascii="仿宋" w:hAnsi="仿宋" w:eastAsia="仿宋" w:cs="Arial"/>
          <w:bCs/>
          <w:sz w:val="32"/>
          <w:szCs w:val="32"/>
        </w:rPr>
        <w:t>1.中层干部行政正职，学校对本单位目标管理考核结果占80%,党建工作（二级党组织述职考核，含党风廉政建设，下同，）考核占20%。中层干部党务正职，本单位目标管理考核结果占40%，党建工作考核占60%。</w:t>
      </w:r>
    </w:p>
    <w:p w14:paraId="266BEDCC">
      <w:pPr>
        <w:spacing w:line="580" w:lineRule="exact"/>
        <w:ind w:firstLine="640" w:firstLineChars="200"/>
        <w:rPr>
          <w:rFonts w:hint="eastAsia" w:ascii="仿宋" w:hAnsi="仿宋" w:eastAsia="仿宋" w:cs="Arial"/>
          <w:bCs/>
          <w:sz w:val="32"/>
          <w:szCs w:val="32"/>
        </w:rPr>
      </w:pPr>
      <w:r>
        <w:rPr>
          <w:rFonts w:hint="eastAsia" w:ascii="仿宋" w:hAnsi="仿宋" w:eastAsia="仿宋" w:cs="Arial"/>
          <w:bCs/>
          <w:sz w:val="32"/>
          <w:szCs w:val="32"/>
        </w:rPr>
        <w:t>2. 中层干部副职，学校对本单位目标管理考核结果占30%，党建工作考核占20%，教学（含质控）、科研（学科）、学工（含团委、招生就业）分管工作考核结果占50%，各分项工作的考核分数以各部门评定的最高分为100分标准统一计算，分管多项工作的取平均分，其他工作均计入单位考核。分管工作没有明确考核结果的干部，其单位目标管理考核结果占80%，党建工作考核占20%。</w:t>
      </w:r>
    </w:p>
    <w:p w14:paraId="1CB27BD7">
      <w:pPr>
        <w:spacing w:line="580" w:lineRule="exact"/>
        <w:ind w:firstLine="640" w:firstLineChars="200"/>
        <w:rPr>
          <w:rFonts w:hint="eastAsia" w:ascii="仿宋" w:hAnsi="仿宋" w:eastAsia="仿宋" w:cs="Arial"/>
          <w:sz w:val="32"/>
          <w:szCs w:val="32"/>
        </w:rPr>
      </w:pPr>
      <w:r>
        <w:rPr>
          <w:rFonts w:hint="eastAsia" w:ascii="仿宋" w:hAnsi="仿宋" w:eastAsia="仿宋" w:cs="Arial"/>
          <w:bCs/>
          <w:sz w:val="32"/>
          <w:szCs w:val="32"/>
        </w:rPr>
        <w:t>（二）非教学单位、机关部门的中层干部运用本单位、本部门的年度目标管理考核结果。年度目标管理考核结果由会议述职和年度工作任务完成情况组成，其中会议述职占50%，年度工作任务完成情况占50%。</w:t>
      </w:r>
    </w:p>
    <w:p w14:paraId="01D692EB">
      <w:pPr>
        <w:spacing w:line="580" w:lineRule="exact"/>
        <w:rPr>
          <w:rFonts w:hint="eastAsia" w:ascii="仿宋" w:hAnsi="仿宋" w:eastAsia="仿宋" w:cs="Arial"/>
          <w:sz w:val="32"/>
          <w:szCs w:val="32"/>
        </w:rPr>
      </w:pPr>
      <w:r>
        <w:rPr>
          <w:rFonts w:hint="eastAsia" w:ascii="仿宋" w:hAnsi="仿宋" w:eastAsia="仿宋" w:cs="Arial"/>
          <w:sz w:val="32"/>
          <w:szCs w:val="32"/>
        </w:rPr>
        <w:t xml:space="preserve">    </w:t>
      </w:r>
      <w:r>
        <w:rPr>
          <w:rFonts w:hint="eastAsia" w:ascii="仿宋_GB2312" w:hAnsi="仿宋" w:eastAsia="仿宋_GB2312"/>
          <w:b/>
          <w:sz w:val="32"/>
          <w:szCs w:val="32"/>
        </w:rPr>
        <w:t>第八条</w:t>
      </w:r>
      <w:r>
        <w:rPr>
          <w:rFonts w:hint="eastAsia" w:ascii="仿宋" w:hAnsi="仿宋" w:eastAsia="仿宋" w:cs="Arial"/>
          <w:sz w:val="32"/>
          <w:szCs w:val="32"/>
        </w:rPr>
        <w:t xml:space="preserve"> 纪实性考核</w:t>
      </w:r>
    </w:p>
    <w:p w14:paraId="261F113D">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以日常工作督查、会议出勤、网络学习、干部听课、领导干部个人有关事项报告等为基础，逐步建立和推行中层干部纪实性考核制度。</w:t>
      </w:r>
    </w:p>
    <w:p w14:paraId="243638C2">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纪实性考核分值为100分，考核方法如下：</w:t>
      </w:r>
    </w:p>
    <w:p w14:paraId="105EDA0B">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一）日常工作督查（30分）。学校层面的各种抽查、阶段性工作（如教学评估、党建评估、就业工作评估及其他相关工作等）材料上交不及时、工作任务完成不到位，以学校相关职能部门的督查结果为依据，每次扣相关责任人5分，扣完为止。</w:t>
      </w:r>
    </w:p>
    <w:p w14:paraId="6B3A4F91">
      <w:pPr>
        <w:spacing w:line="580" w:lineRule="exact"/>
        <w:rPr>
          <w:rFonts w:hint="eastAsia" w:ascii="仿宋" w:hAnsi="仿宋" w:eastAsia="仿宋" w:cs="Arial"/>
          <w:sz w:val="32"/>
          <w:szCs w:val="32"/>
        </w:rPr>
      </w:pPr>
      <w:r>
        <w:rPr>
          <w:rFonts w:hint="eastAsia" w:ascii="仿宋" w:hAnsi="仿宋" w:eastAsia="仿宋" w:cs="Arial"/>
          <w:sz w:val="32"/>
          <w:szCs w:val="32"/>
        </w:rPr>
        <w:t xml:space="preserve">    （二）会议出勤（10分）。学校层面的大会，每缺席（除上课、公差、公派外出学习和病假外）一次扣2分，扣完为止。以党政办公室的考勤记录为准。</w:t>
      </w:r>
    </w:p>
    <w:p w14:paraId="3DE668DC">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（三）网络学习（10分）。根据上级要求，中层干部每年度应在湖南省干部教育培训网络学院完成50学分的日常网络学习。未修满规定学分者，每欠一个学分扣1分，扣完为止。以组织部统计结果为准。</w:t>
      </w:r>
    </w:p>
    <w:p w14:paraId="5C35C526">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（四）干部听课（10分）。按照《邵阳学院领导干部和教师听课制度》（邵院政字[2007]62号）规定，每少听1学时扣1分，扣完为止。以教学质量监控处统计结果为准。</w:t>
      </w:r>
    </w:p>
    <w:p w14:paraId="4168FB0D">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 xml:space="preserve"> (五)干部日常监督（20分）：中层干部受到批评教育、责令检查等处理的，每次扣</w:t>
      </w:r>
      <w:r>
        <w:rPr>
          <w:rFonts w:hint="eastAsia" w:ascii="仿宋" w:hAnsi="仿宋" w:eastAsia="仿宋" w:cs="Arial"/>
          <w:b/>
          <w:sz w:val="32"/>
          <w:szCs w:val="32"/>
        </w:rPr>
        <w:t>4</w:t>
      </w:r>
      <w:r>
        <w:rPr>
          <w:rFonts w:hint="eastAsia" w:ascii="仿宋" w:hAnsi="仿宋" w:eastAsia="仿宋" w:cs="Arial"/>
          <w:sz w:val="32"/>
          <w:szCs w:val="32"/>
        </w:rPr>
        <w:t>分；受到诫勉谈话处理的，每次扣5分；按照《中国共产党组织处理规定》和《中国共产党纪律处分条例》等上级文件规定，受到组织处理或者纪律处分及以上的处理，根据处理结果每次扣10分，扣完为止。以学校纪委办、组织部统计结果为准。</w:t>
      </w:r>
    </w:p>
    <w:p w14:paraId="2F7E9935">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六）干部日常管理（20分）：按照上级有关规定，每个中层干部都要如实向组织报告个人有关事项。凡有漏报行为，情节较重的每次扣5分；有隐瞒不报行为，情节较轻的（指诫勉处理）每次扣5分；有隐瞒不报行为，情节较重的（指取消考察对象以上）每次扣10分。以省委组织部反馈意见为准；按照《邵阳学院处级干部因私事出国（境）管理办法》，对私自持有因私出国（境）证件、未经组织审批擅自出国（境）、私自延长在国（境）外停留时间和更改出国（境）路线、回国（境）后拒不交回因私出国（境）证件或逾期未交的，每出现1次违规情况扣5分，扣完为止。以学校组织部统计结果为准。</w:t>
      </w:r>
    </w:p>
    <w:p w14:paraId="0BFB8EFC">
      <w:pPr>
        <w:spacing w:line="580" w:lineRule="exact"/>
        <w:ind w:firstLine="600"/>
        <w:rPr>
          <w:rFonts w:hint="eastAsia" w:ascii="仿宋" w:hAnsi="仿宋" w:eastAsia="仿宋" w:cs="Arial"/>
          <w:sz w:val="32"/>
          <w:szCs w:val="32"/>
        </w:rPr>
      </w:pPr>
      <w:r>
        <w:rPr>
          <w:rFonts w:hint="eastAsia" w:ascii="仿宋_GB2312" w:hAnsi="仿宋" w:eastAsia="仿宋_GB2312"/>
          <w:b/>
          <w:sz w:val="32"/>
          <w:szCs w:val="32"/>
        </w:rPr>
        <w:t>第九条</w:t>
      </w:r>
      <w:r>
        <w:rPr>
          <w:rFonts w:hint="eastAsia" w:ascii="仿宋" w:hAnsi="仿宋" w:eastAsia="仿宋" w:cs="Arial"/>
          <w:sz w:val="32"/>
          <w:szCs w:val="32"/>
        </w:rPr>
        <w:t xml:space="preserve">  综合计分</w:t>
      </w:r>
    </w:p>
    <w:p w14:paraId="4314535A">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中层干部的考核总分=学校领导民主测评得分</w:t>
      </w:r>
      <w:r>
        <w:rPr>
          <w:rFonts w:ascii="仿宋" w:hAnsi="仿宋" w:eastAsia="仿宋" w:cs="Arial"/>
          <w:sz w:val="32"/>
          <w:szCs w:val="32"/>
        </w:rPr>
        <w:t>×</w:t>
      </w:r>
      <w:r>
        <w:rPr>
          <w:rFonts w:hint="eastAsia" w:ascii="仿宋" w:hAnsi="仿宋" w:eastAsia="仿宋" w:cs="Arial"/>
          <w:sz w:val="32"/>
          <w:szCs w:val="32"/>
        </w:rPr>
        <w:t>25%+学校基层民主测评得分×25%+部门考核得分</w:t>
      </w:r>
      <w:r>
        <w:rPr>
          <w:rFonts w:ascii="仿宋" w:hAnsi="仿宋" w:eastAsia="仿宋" w:cs="Arial"/>
          <w:sz w:val="32"/>
          <w:szCs w:val="32"/>
        </w:rPr>
        <w:t>×</w:t>
      </w:r>
      <w:r>
        <w:rPr>
          <w:rFonts w:hint="eastAsia" w:ascii="仿宋" w:hAnsi="仿宋" w:eastAsia="仿宋" w:cs="Arial"/>
          <w:sz w:val="32"/>
          <w:szCs w:val="32"/>
        </w:rPr>
        <w:t>25%+纪实性考核得分</w:t>
      </w:r>
      <w:r>
        <w:rPr>
          <w:rFonts w:ascii="仿宋" w:hAnsi="仿宋" w:eastAsia="仿宋" w:cs="Arial"/>
          <w:sz w:val="32"/>
          <w:szCs w:val="32"/>
        </w:rPr>
        <w:t>×</w:t>
      </w:r>
      <w:r>
        <w:rPr>
          <w:rFonts w:hint="eastAsia" w:ascii="仿宋" w:hAnsi="仿宋" w:eastAsia="仿宋" w:cs="Arial"/>
          <w:sz w:val="32"/>
          <w:szCs w:val="32"/>
        </w:rPr>
        <w:t>25%。</w:t>
      </w:r>
    </w:p>
    <w:p w14:paraId="07ED0121">
      <w:pPr>
        <w:spacing w:line="580" w:lineRule="exact"/>
        <w:ind w:firstLine="600"/>
        <w:rPr>
          <w:rFonts w:hint="eastAsia" w:ascii="仿宋" w:hAnsi="仿宋" w:eastAsia="仿宋" w:cs="Arial"/>
          <w:sz w:val="32"/>
          <w:szCs w:val="32"/>
        </w:rPr>
      </w:pPr>
      <w:r>
        <w:rPr>
          <w:rFonts w:hint="eastAsia" w:ascii="仿宋" w:hAnsi="仿宋" w:eastAsia="仿宋" w:cs="Arial"/>
          <w:sz w:val="32"/>
          <w:szCs w:val="32"/>
        </w:rPr>
        <w:t>分数计算时，数据保留小数点后2位。</w:t>
      </w:r>
    </w:p>
    <w:p w14:paraId="673D191C">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第五章  等次评定</w:t>
      </w:r>
    </w:p>
    <w:p w14:paraId="70758B1A">
      <w:pPr>
        <w:spacing w:line="580" w:lineRule="exact"/>
        <w:ind w:firstLine="643" w:firstLineChars="200"/>
        <w:rPr>
          <w:rFonts w:hint="eastAsia" w:ascii="仿宋" w:hAnsi="仿宋" w:eastAsia="仿宋" w:cs="Arial"/>
          <w:sz w:val="32"/>
          <w:szCs w:val="32"/>
        </w:rPr>
      </w:pPr>
      <w:r>
        <w:rPr>
          <w:rFonts w:hint="eastAsia" w:ascii="仿宋_GB2312" w:hAnsi="仿宋" w:eastAsia="仿宋_GB2312"/>
          <w:b/>
          <w:sz w:val="32"/>
          <w:szCs w:val="32"/>
        </w:rPr>
        <w:t>第十条</w:t>
      </w:r>
      <w:r>
        <w:rPr>
          <w:rFonts w:hint="eastAsia" w:ascii="仿宋" w:hAnsi="仿宋" w:eastAsia="仿宋" w:cs="Arial"/>
          <w:sz w:val="32"/>
          <w:szCs w:val="32"/>
        </w:rPr>
        <w:t xml:space="preserve">  分类分层排序 </w:t>
      </w:r>
    </w:p>
    <w:p w14:paraId="14FA754A">
      <w:pPr>
        <w:spacing w:line="580" w:lineRule="exact"/>
        <w:ind w:firstLine="640" w:firstLineChars="200"/>
        <w:rPr>
          <w:rFonts w:hint="eastAsia" w:ascii="仿宋" w:hAnsi="仿宋" w:eastAsia="仿宋" w:cs="Arial"/>
          <w:bCs/>
          <w:sz w:val="32"/>
          <w:szCs w:val="32"/>
        </w:rPr>
      </w:pPr>
      <w:r>
        <w:rPr>
          <w:rFonts w:hint="eastAsia" w:ascii="仿宋" w:hAnsi="仿宋" w:eastAsia="仿宋" w:cs="Arial"/>
          <w:bCs/>
          <w:sz w:val="32"/>
          <w:szCs w:val="32"/>
        </w:rPr>
        <w:t>将中层干部分教学单位与非教学单位两个大类，每个大类再按正、副职分层，根据综合计分情况排序。</w:t>
      </w:r>
    </w:p>
    <w:p w14:paraId="53E3CA8D">
      <w:pPr>
        <w:spacing w:line="580" w:lineRule="exact"/>
        <w:ind w:firstLine="643" w:firstLineChars="200"/>
        <w:rPr>
          <w:rFonts w:hint="eastAsia" w:ascii="仿宋" w:hAnsi="仿宋" w:eastAsia="仿宋"/>
          <w:sz w:val="32"/>
          <w:szCs w:val="32"/>
        </w:rPr>
      </w:pPr>
      <w:r>
        <w:rPr>
          <w:rFonts w:hint="eastAsia" w:ascii="仿宋_GB2312" w:hAnsi="仿宋" w:eastAsia="仿宋_GB2312"/>
          <w:b/>
          <w:sz w:val="32"/>
          <w:szCs w:val="32"/>
        </w:rPr>
        <w:t>第十一条</w:t>
      </w:r>
      <w:r>
        <w:rPr>
          <w:rFonts w:hint="eastAsia" w:ascii="仿宋" w:hAnsi="仿宋" w:eastAsia="仿宋"/>
          <w:sz w:val="32"/>
          <w:szCs w:val="32"/>
        </w:rPr>
        <w:t xml:space="preserve">  考核结果分为优秀、称职、基本称职、不称职四个等次。其中，优秀等次评定总数分别控制在被考核总人数的25</w:t>
      </w:r>
      <w:r>
        <w:rPr>
          <w:rFonts w:hint="eastAsia" w:ascii="仿宋" w:hAnsi="仿宋" w:eastAsia="仿宋" w:cs="Arial"/>
          <w:bCs/>
          <w:sz w:val="32"/>
          <w:szCs w:val="32"/>
        </w:rPr>
        <w:t>%以</w:t>
      </w:r>
      <w:r>
        <w:rPr>
          <w:rFonts w:hint="eastAsia" w:ascii="仿宋" w:hAnsi="仿宋" w:eastAsia="仿宋"/>
          <w:sz w:val="32"/>
          <w:szCs w:val="32"/>
        </w:rPr>
        <w:t>内。</w:t>
      </w:r>
    </w:p>
    <w:p w14:paraId="69D70FAA">
      <w:pPr>
        <w:spacing w:line="580" w:lineRule="exact"/>
        <w:ind w:firstLine="320" w:firstLineChars="100"/>
        <w:rPr>
          <w:rFonts w:hint="eastAsia" w:ascii="仿宋" w:hAnsi="仿宋" w:eastAsia="仿宋"/>
          <w:sz w:val="32"/>
          <w:szCs w:val="32"/>
        </w:rPr>
      </w:pPr>
      <w:r>
        <w:rPr>
          <w:rFonts w:hint="eastAsia" w:ascii="仿宋" w:hAnsi="仿宋" w:eastAsia="仿宋"/>
          <w:sz w:val="32"/>
          <w:szCs w:val="32"/>
        </w:rPr>
        <w:t xml:space="preserve"> （一）根据考核总分情况确定考核结果，评为“优秀”等次的原则上须在85分以上（含85分）；评为“称职”等次的须不低于70分（含70分）；评为“基本称职”等次的须不低于60分；总分在60分以下，经组织考核认定不称职的，评为“不称职”等次。</w:t>
      </w:r>
    </w:p>
    <w:p w14:paraId="4F5D68CE">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sz w:val="32"/>
          <w:szCs w:val="32"/>
        </w:rPr>
      </w:pPr>
      <w:r>
        <w:rPr>
          <w:rFonts w:hint="eastAsia" w:ascii="仿宋" w:hAnsi="仿宋" w:eastAsia="仿宋"/>
          <w:sz w:val="32"/>
          <w:szCs w:val="32"/>
        </w:rPr>
        <w:t xml:space="preserve"> （二）每个教学单位党政正副职 “优秀”等次原则上最多评2人，年度目标管理考核单位获“优秀”或经党委研究认为该单位年度工作特别突出的教学单位“优秀”等次可评定3人，正职不超过1 人；每个非教学单位正副职 “优秀”等次原则上不超过1人，年度目标管理考核部门获“优秀”等次可评定2人，全校教学单位教学（含质控）、科研（学科）、学工（含团委、招生就业）分管副职评定为“优秀”等次的人数均不少于2人，按各自在本序列的排名比例高低确定人选，按依次递补的原则把握人选。</w:t>
      </w:r>
    </w:p>
    <w:p w14:paraId="3E97EF60">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sz w:val="32"/>
          <w:szCs w:val="32"/>
        </w:rPr>
      </w:pPr>
      <w:r>
        <w:rPr>
          <w:rFonts w:hint="eastAsia" w:ascii="仿宋" w:hAnsi="仿宋" w:eastAsia="仿宋"/>
          <w:sz w:val="32"/>
          <w:szCs w:val="32"/>
        </w:rPr>
        <w:t xml:space="preserve">  （三）同一岗位连续两年获“优秀”等次的中层干部，下两个年度原则上不再参评“优秀”等次（轮岗交流除外）。</w:t>
      </w:r>
    </w:p>
    <w:p w14:paraId="1E7DD603">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sz w:val="32"/>
          <w:szCs w:val="32"/>
        </w:rPr>
      </w:pPr>
      <w:r>
        <w:rPr>
          <w:rFonts w:hint="eastAsia" w:ascii="仿宋" w:hAnsi="仿宋" w:eastAsia="仿宋"/>
          <w:sz w:val="32"/>
          <w:szCs w:val="32"/>
        </w:rPr>
        <w:t>（四）学校党委在综合计分排名的基础上，结合中层干部个人或者所在部门（单位）年度工作业绩情况，结合年度总结、个别谈话和平时了解掌握等途径掌握的情况，对所有中层干部的年度考核结果进行集体讨论，决定最终等次评定。</w:t>
      </w:r>
    </w:p>
    <w:p w14:paraId="722A355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bCs/>
          <w:sz w:val="32"/>
          <w:szCs w:val="32"/>
        </w:rPr>
      </w:pPr>
      <w:r>
        <w:rPr>
          <w:rFonts w:hint="eastAsia" w:ascii="仿宋_GB2312" w:hAnsi="仿宋" w:eastAsia="仿宋_GB2312"/>
          <w:b/>
          <w:sz w:val="32"/>
          <w:szCs w:val="32"/>
        </w:rPr>
        <w:t>第十二条</w:t>
      </w:r>
      <w:r>
        <w:rPr>
          <w:rFonts w:hint="eastAsia" w:ascii="仿宋" w:hAnsi="仿宋" w:eastAsia="仿宋"/>
          <w:b/>
          <w:bCs/>
          <w:sz w:val="32"/>
          <w:szCs w:val="32"/>
        </w:rPr>
        <w:t xml:space="preserve"> </w:t>
      </w:r>
      <w:r>
        <w:rPr>
          <w:rFonts w:hint="eastAsia" w:ascii="仿宋" w:hAnsi="仿宋" w:eastAsia="仿宋"/>
          <w:bCs/>
          <w:sz w:val="32"/>
          <w:szCs w:val="32"/>
        </w:rPr>
        <w:t>其他认定方法</w:t>
      </w:r>
    </w:p>
    <w:p w14:paraId="201B3E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（一）中层干部</w:t>
      </w:r>
      <w:r>
        <w:rPr>
          <w:rFonts w:ascii="仿宋" w:hAnsi="仿宋" w:eastAsia="仿宋"/>
          <w:sz w:val="32"/>
          <w:szCs w:val="32"/>
        </w:rPr>
        <w:t>受到组织处理的，当年不得评选各类先进。当年年度考核按照以下规定执行：受到调整职务处理的，不得确定为优秀等次；受到责令辞职、免职、降职处理的，只写评语不确定等次。同时受到党纪政务处分和组织处理的，按照对其年度考核结果影响较重的处理处分确定年度考核等次。</w:t>
      </w:r>
    </w:p>
    <w:p w14:paraId="215444F4">
      <w:pPr>
        <w:spacing w:line="580" w:lineRule="exact"/>
        <w:ind w:firstLine="640" w:firstLineChars="200"/>
        <w:rPr>
          <w:rFonts w:hint="eastAsia" w:ascii="仿宋" w:hAnsi="仿宋" w:eastAsia="仿宋"/>
          <w:sz w:val="32"/>
          <w:szCs w:val="32"/>
        </w:rPr>
      </w:pPr>
      <w:r>
        <w:rPr>
          <w:rFonts w:hint="eastAsia" w:ascii="仿宋" w:hAnsi="仿宋" w:eastAsia="仿宋"/>
          <w:sz w:val="32"/>
          <w:szCs w:val="32"/>
        </w:rPr>
        <w:t>（二）本人因与职务行为有关的错误当年受到党内严重警告处分的，确定为不称职等次；因其他错误而受到处分的，只述职不确定等次；当年受到撤销党内职务、留党察看、开除党籍处分的，确定为不称职等次。</w:t>
      </w:r>
    </w:p>
    <w:p w14:paraId="75E8A3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三）本人当年受到行政记过处分的，确定为基本称职或不称职等次；当年因与职务行为有关的错误受到行政记大过处分的，确定为不称职等次，因其他错误而受到处分的，只述职不确定等次；当年受到行政降级、行政撤销职务处分的，确定为不称职等次。</w:t>
      </w:r>
    </w:p>
    <w:p w14:paraId="717AA2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（四）本人当年涉嫌违纪违法被立案调查尚未结案的，参加年度考核不写评语不确定等次。结案后，根据处理结果按规定补定等次。</w:t>
      </w:r>
    </w:p>
    <w:p w14:paraId="1B4C7E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（五）同时受到组织处理和纪律处分的，按对年度考核结果影响较重的规定执行。</w:t>
      </w:r>
    </w:p>
    <w:p w14:paraId="4CFF1A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六）因公派遣外出（学习、挂职、扶贫等）的中层干部要参加年度考核，由当年工作半年以上的地方或者单位进行考核，以适当方式听取派出单位或者接收单位的意见。本年度病休（工伤除外）、事假累计六个月以上的，参加年度考核,不确定等次。</w:t>
      </w:r>
    </w:p>
    <w:p w14:paraId="142FB51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sz w:val="32"/>
          <w:szCs w:val="32"/>
        </w:rPr>
      </w:pPr>
      <w:r>
        <w:rPr>
          <w:rFonts w:hint="eastAsia" w:ascii="仿宋_GB2312" w:hAnsi="仿宋" w:eastAsia="仿宋_GB2312"/>
          <w:b/>
          <w:sz w:val="32"/>
          <w:szCs w:val="32"/>
        </w:rPr>
        <w:t>第十三条</w:t>
      </w:r>
      <w:r>
        <w:rPr>
          <w:rFonts w:hint="eastAsia" w:ascii="仿宋" w:hAnsi="仿宋" w:eastAsia="仿宋"/>
          <w:b/>
          <w:bCs/>
          <w:sz w:val="32"/>
          <w:szCs w:val="32"/>
        </w:rPr>
        <w:t xml:space="preserve">  </w:t>
      </w:r>
      <w:r>
        <w:rPr>
          <w:rFonts w:hint="eastAsia" w:ascii="仿宋" w:hAnsi="仿宋" w:eastAsia="仿宋"/>
          <w:sz w:val="32"/>
          <w:szCs w:val="32"/>
        </w:rPr>
        <w:t>结果公开。将评为“优秀”等次的结果予以公示。年度考核结束后，发文公布考核结果。中层干部考核结果即为考核对象本年度教职工个人年度考核结果，不再重复考核。</w:t>
      </w:r>
    </w:p>
    <w:p w14:paraId="4C195F1E">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第六章 结果运用</w:t>
      </w:r>
    </w:p>
    <w:p w14:paraId="771B08B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sz w:val="32"/>
          <w:szCs w:val="32"/>
        </w:rPr>
      </w:pPr>
      <w:r>
        <w:rPr>
          <w:rFonts w:hint="eastAsia" w:ascii="仿宋_GB2312" w:hAnsi="仿宋" w:eastAsia="仿宋_GB2312"/>
          <w:b/>
          <w:sz w:val="32"/>
          <w:szCs w:val="32"/>
        </w:rPr>
        <w:t xml:space="preserve">第十四条 </w:t>
      </w:r>
      <w:r>
        <w:rPr>
          <w:rFonts w:hint="eastAsia" w:ascii="仿宋" w:hAnsi="仿宋" w:eastAsia="仿宋"/>
          <w:sz w:val="32"/>
          <w:szCs w:val="32"/>
        </w:rPr>
        <w:t xml:space="preserve"> 坚持把考核结果作为干部选拔任用、培养教育、管理监督、激励约束的重要依据。</w:t>
      </w:r>
    </w:p>
    <w:p w14:paraId="625EF4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 w:hAnsi="仿宋" w:eastAsia="仿宋"/>
          <w:sz w:val="32"/>
          <w:szCs w:val="32"/>
        </w:rPr>
        <w:t>（一） 需提任的中层干部，在任期内考核结果均须为“称职”及以上。</w:t>
      </w:r>
      <w:r>
        <w:rPr>
          <w:rFonts w:hint="eastAsia" w:ascii="仿宋_GB2312" w:eastAsia="仿宋_GB2312"/>
          <w:sz w:val="32"/>
          <w:szCs w:val="32"/>
        </w:rPr>
        <w:t>多次评定为“优秀”的中层干部，在选拔、任用时作为重要参考。</w:t>
      </w:r>
    </w:p>
    <w:p w14:paraId="193E45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Cs/>
          <w:sz w:val="32"/>
          <w:szCs w:val="32"/>
        </w:rPr>
      </w:pPr>
      <w:r>
        <w:rPr>
          <w:rFonts w:hint="eastAsia" w:ascii="仿宋" w:hAnsi="仿宋" w:eastAsia="仿宋"/>
          <w:bCs/>
          <w:sz w:val="32"/>
          <w:szCs w:val="32"/>
        </w:rPr>
        <w:t>（二） 考核得分在本类别、本层次排名末位的，组织要对其进行提醒谈话。对于连续三年考核结果排在末位的中层干部在深入分析后如无特殊情况，进行组织处理。</w:t>
      </w:r>
    </w:p>
    <w:p w14:paraId="41825AEA">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第七章 考核的组织</w:t>
      </w:r>
    </w:p>
    <w:p w14:paraId="4E02E8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sz w:val="32"/>
          <w:szCs w:val="32"/>
        </w:rPr>
      </w:pPr>
      <w:r>
        <w:rPr>
          <w:rFonts w:hint="eastAsia" w:ascii="仿宋_GB2312" w:hAnsi="仿宋" w:eastAsia="仿宋_GB2312"/>
          <w:b/>
          <w:sz w:val="32"/>
          <w:szCs w:val="32"/>
        </w:rPr>
        <w:t>第十五条</w:t>
      </w:r>
      <w:r>
        <w:rPr>
          <w:rFonts w:hint="eastAsia" w:ascii="仿宋" w:hAnsi="仿宋" w:eastAsia="仿宋"/>
          <w:sz w:val="32"/>
          <w:szCs w:val="32"/>
        </w:rPr>
        <w:t xml:space="preserve">  学校成立中层干部考核领导小组。领导小组的主要职责是研究和决定学校中层干部考核中的有关问题，组织协调中层干部考核工作，对考核结果进行汇总，报党委综合评定。中层干部考核领导小组办公室设在组织部。</w:t>
      </w:r>
    </w:p>
    <w:p w14:paraId="60281BE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sz w:val="32"/>
          <w:szCs w:val="32"/>
        </w:rPr>
      </w:pPr>
      <w:r>
        <w:rPr>
          <w:rFonts w:hint="eastAsia" w:ascii="仿宋_GB2312" w:hAnsi="仿宋" w:eastAsia="仿宋_GB2312"/>
          <w:b/>
          <w:sz w:val="32"/>
          <w:szCs w:val="32"/>
        </w:rPr>
        <w:t>第十六条</w:t>
      </w:r>
      <w:r>
        <w:rPr>
          <w:rFonts w:hint="eastAsia" w:ascii="仿宋" w:hAnsi="仿宋" w:eastAsia="仿宋"/>
          <w:sz w:val="32"/>
          <w:szCs w:val="32"/>
        </w:rPr>
        <w:t xml:space="preserve">  健全考核工作责任制，加强监督检查，切实保证考核工作客观公正。对在考核工作中有拉票行为、</w:t>
      </w:r>
      <w:r>
        <w:rPr>
          <w:rFonts w:hint="eastAsia" w:ascii="仿宋" w:hAnsi="仿宋" w:eastAsia="仿宋"/>
          <w:bCs/>
          <w:sz w:val="32"/>
          <w:szCs w:val="32"/>
        </w:rPr>
        <w:t>材料</w:t>
      </w:r>
      <w:r>
        <w:rPr>
          <w:rFonts w:hint="eastAsia" w:ascii="仿宋" w:hAnsi="仿宋" w:eastAsia="仿宋"/>
          <w:sz w:val="32"/>
          <w:szCs w:val="32"/>
        </w:rPr>
        <w:t>数据弄虚作假以及造成泄密的，要严肃批评教育；情节严重造成不良后果的，要实行责任追究。</w:t>
      </w:r>
    </w:p>
    <w:p w14:paraId="046BC5C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sz w:val="32"/>
          <w:szCs w:val="32"/>
        </w:rPr>
      </w:pPr>
      <w:r>
        <w:rPr>
          <w:rFonts w:hint="eastAsia" w:ascii="仿宋_GB2312" w:hAnsi="仿宋" w:eastAsia="仿宋_GB2312"/>
          <w:b/>
          <w:sz w:val="32"/>
          <w:szCs w:val="32"/>
        </w:rPr>
        <w:t>第十七条</w:t>
      </w:r>
      <w:r>
        <w:rPr>
          <w:rFonts w:hint="eastAsia" w:ascii="仿宋" w:hAnsi="仿宋" w:eastAsia="仿宋"/>
          <w:sz w:val="32"/>
          <w:szCs w:val="32"/>
        </w:rPr>
        <w:t xml:space="preserve">  中层干部考核以年度为单位，每年考核一次，原则上在下年度第一个学期开学初完成上年度考核。</w:t>
      </w:r>
    </w:p>
    <w:p w14:paraId="71DA9D13">
      <w:pPr>
        <w:spacing w:before="156" w:beforeLines="50" w:after="156" w:afterLines="50" w:line="540" w:lineRule="exact"/>
        <w:jc w:val="center"/>
        <w:rPr>
          <w:rFonts w:hint="eastAsia" w:ascii="黑体" w:hAnsi="黑体" w:eastAsia="黑体" w:cs="黑体"/>
          <w:sz w:val="32"/>
          <w:szCs w:val="32"/>
        </w:rPr>
      </w:pPr>
      <w:r>
        <w:rPr>
          <w:rFonts w:hint="eastAsia" w:ascii="黑体" w:hAnsi="黑体" w:eastAsia="黑体" w:cs="黑体"/>
          <w:sz w:val="32"/>
          <w:szCs w:val="32"/>
        </w:rPr>
        <w:t>第八章 附 则</w:t>
      </w:r>
    </w:p>
    <w:p w14:paraId="4308BC8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b/>
          <w:bCs/>
          <w:sz w:val="32"/>
          <w:szCs w:val="32"/>
        </w:rPr>
      </w:pPr>
      <w:r>
        <w:rPr>
          <w:rFonts w:hint="eastAsia" w:ascii="仿宋_GB2312" w:hAnsi="仿宋" w:eastAsia="仿宋_GB2312"/>
          <w:b/>
          <w:sz w:val="32"/>
          <w:szCs w:val="32"/>
        </w:rPr>
        <w:t>第十八条</w:t>
      </w:r>
      <w:r>
        <w:rPr>
          <w:rFonts w:hint="eastAsia" w:ascii="仿宋" w:hAnsi="仿宋" w:eastAsia="仿宋"/>
          <w:b/>
          <w:bCs/>
          <w:sz w:val="32"/>
          <w:szCs w:val="32"/>
        </w:rPr>
        <w:t xml:space="preserve">  </w:t>
      </w:r>
      <w:r>
        <w:rPr>
          <w:rFonts w:hint="eastAsia" w:ascii="仿宋" w:hAnsi="仿宋" w:eastAsia="仿宋"/>
          <w:sz w:val="32"/>
          <w:szCs w:val="32"/>
        </w:rPr>
        <w:t>附属医院领导班子成员考核办法另行制定。</w:t>
      </w:r>
    </w:p>
    <w:p w14:paraId="23AAC55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sz w:val="28"/>
          <w:szCs w:val="28"/>
        </w:rPr>
      </w:pPr>
      <w:r>
        <w:rPr>
          <w:rFonts w:hint="eastAsia" w:ascii="仿宋_GB2312" w:hAnsi="仿宋" w:eastAsia="仿宋_GB2312"/>
          <w:b/>
          <w:sz w:val="32"/>
          <w:szCs w:val="32"/>
        </w:rPr>
        <w:t>第十九条</w:t>
      </w:r>
      <w:r>
        <w:rPr>
          <w:rFonts w:hint="eastAsia" w:ascii="仿宋" w:hAnsi="仿宋" w:eastAsia="仿宋"/>
          <w:sz w:val="32"/>
          <w:szCs w:val="32"/>
        </w:rPr>
        <w:t xml:space="preserve">  本办法自下发之日起实行，由学校党委组织部负责解释。</w:t>
      </w:r>
    </w:p>
    <w:bookmarkEnd w:id="0"/>
    <w:p w14:paraId="0E12032B">
      <w:pPr>
        <w:spacing w:line="580" w:lineRule="exact"/>
        <w:jc w:val="left"/>
        <w:rPr>
          <w:rFonts w:hint="eastAsia"/>
          <w:sz w:val="28"/>
          <w:szCs w:val="28"/>
        </w:rPr>
      </w:pPr>
    </w:p>
    <w:sectPr>
      <w:headerReference r:id="rId5" w:type="default"/>
      <w:footerReference r:id="rId6" w:type="default"/>
      <w:pgSz w:w="11906" w:h="16838"/>
      <w:pgMar w:top="1440" w:right="1797"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81A82A-9D45-43C9-ABBB-1E4DA3437CB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4221F60-5492-4924-B222-0DB8B676F75A}"/>
  </w:font>
  <w:font w:name="仿宋_GB2312">
    <w:altName w:val="仿宋"/>
    <w:panose1 w:val="02010609030101010101"/>
    <w:charset w:val="86"/>
    <w:family w:val="modern"/>
    <w:pitch w:val="default"/>
    <w:sig w:usb0="00000000" w:usb1="00000000" w:usb2="00000000" w:usb3="00000000" w:csb0="00040000" w:csb1="00000000"/>
    <w:embedRegular r:id="rId3" w:fontKey="{EA0273A8-2955-4BA6-A8F2-1BD108BBB3CC}"/>
  </w:font>
  <w:font w:name="仿宋">
    <w:panose1 w:val="02010609060101010101"/>
    <w:charset w:val="86"/>
    <w:family w:val="modern"/>
    <w:pitch w:val="default"/>
    <w:sig w:usb0="800002BF" w:usb1="38CF7CFA" w:usb2="00000016" w:usb3="00000000" w:csb0="00040001" w:csb1="00000000"/>
    <w:embedRegular r:id="rId4" w:fontKey="{7FCDF569-6A2E-40BB-A65E-EB31EBCAAB9E}"/>
  </w:font>
  <w:font w:name="Arial">
    <w:panose1 w:val="020B0604020202020204"/>
    <w:charset w:val="00"/>
    <w:family w:val="swiss"/>
    <w:pitch w:val="default"/>
    <w:sig w:usb0="E0002AFF" w:usb1="C0007843" w:usb2="00000009" w:usb3="00000000" w:csb0="400001FF" w:csb1="FFFF0000"/>
    <w:embedRegular r:id="rId5" w:fontKey="{3F779CA1-BC78-47B2-99F4-DEF47319E00C}"/>
  </w:font>
  <w:font w:name="方正小标宋简体">
    <w:panose1 w:val="02010600010101010101"/>
    <w:charset w:val="86"/>
    <w:family w:val="script"/>
    <w:pitch w:val="default"/>
    <w:sig w:usb0="00000001" w:usb1="080E0000" w:usb2="00000000" w:usb3="00000000" w:csb0="00040000" w:csb1="00000000"/>
    <w:embedRegular r:id="rId6" w:fontKey="{2B9C9694-1A0E-46EA-8814-1DC681065695}"/>
  </w:font>
  <w:font w:name="方正小标宋_GBK">
    <w:panose1 w:val="02000000000000000000"/>
    <w:charset w:val="86"/>
    <w:family w:val="script"/>
    <w:pitch w:val="default"/>
    <w:sig w:usb0="A00002BF" w:usb1="38CF7CFA" w:usb2="00082016" w:usb3="00000000" w:csb0="00040001" w:csb1="00000000"/>
    <w:embedRegular r:id="rId7" w:fontKey="{68EAB737-E134-4C46-9472-B3B60B506431}"/>
  </w:font>
  <w:font w:name="Cambria">
    <w:panose1 w:val="02040503050406030204"/>
    <w:charset w:val="00"/>
    <w:family w:val="roman"/>
    <w:pitch w:val="default"/>
    <w:sig w:usb0="E00002FF" w:usb1="400004FF" w:usb2="00000000" w:usb3="00000000" w:csb0="2000019F" w:csb1="00000000"/>
    <w:embedRegular r:id="rId8" w:fontKey="{F29E51FA-B4EC-4A8E-A06A-778B44873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CC4DA">
    <w:pPr>
      <w:pStyle w:val="6"/>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B8EF7">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9tgmbXAQAAsQMAAA4AAAAAAAAAAQAgAAAA&#10;HgEAAGRycy9lMm9Eb2MueG1sUEsFBgAAAAAGAAYAWQEAAGcFAAAAAA==&#10;">
              <v:fill on="f" focussize="0,0"/>
              <v:stroke on="f"/>
              <v:imagedata o:title=""/>
              <o:lock v:ext="edit" aspectratio="f"/>
              <v:textbox inset="0mm,0mm,0mm,0mm" style="mso-fit-shape-to-text:t;">
                <w:txbxContent>
                  <w:p w14:paraId="0CDB8EF7">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txbxContent>
              </v:textbox>
            </v:shape>
          </w:pict>
        </mc:Fallback>
      </mc:AlternateContent>
    </w:r>
  </w:p>
  <w:p w14:paraId="4D82D3B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68B4E">
    <w:pPr>
      <w:pStyle w:val="6"/>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CA4FE2">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6uxrm2AEAALEDAAAOAAAAAAAAAAEAIAAA&#10;AB4BAABkcnMvZTJvRG9jLnhtbFBLBQYAAAAABgAGAFkBAABoBQAAAAA=&#10;">
              <v:fill on="f" focussize="0,0"/>
              <v:stroke on="f"/>
              <v:imagedata o:title=""/>
              <o:lock v:ext="edit" aspectratio="f"/>
              <v:textbox inset="0mm,0mm,0mm,0mm" style="mso-fit-shape-to-text:t;">
                <w:txbxContent>
                  <w:p w14:paraId="3BCA4FE2">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txbxContent>
              </v:textbox>
            </v:shape>
          </w:pict>
        </mc:Fallback>
      </mc:AlternateContent>
    </w:r>
  </w:p>
  <w:p w14:paraId="24B353B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C6FD">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2774E">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trackedChanges"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1NGYzMTEyOWNhY2MxOWRhNzA3YWZhNzYyMjVjZjIifQ=="/>
  </w:docVars>
  <w:rsids>
    <w:rsidRoot w:val="000B0E5E"/>
    <w:rsid w:val="00003554"/>
    <w:rsid w:val="00027611"/>
    <w:rsid w:val="00032C96"/>
    <w:rsid w:val="000B0E5E"/>
    <w:rsid w:val="000D6B1F"/>
    <w:rsid w:val="000D7EC8"/>
    <w:rsid w:val="001067A9"/>
    <w:rsid w:val="00112B09"/>
    <w:rsid w:val="00154ACB"/>
    <w:rsid w:val="00174FB3"/>
    <w:rsid w:val="001B3B1A"/>
    <w:rsid w:val="001D019D"/>
    <w:rsid w:val="001E0D70"/>
    <w:rsid w:val="00223697"/>
    <w:rsid w:val="00250AA3"/>
    <w:rsid w:val="0029557B"/>
    <w:rsid w:val="002A7623"/>
    <w:rsid w:val="0030180D"/>
    <w:rsid w:val="00323A3A"/>
    <w:rsid w:val="00327935"/>
    <w:rsid w:val="003302B7"/>
    <w:rsid w:val="00343C88"/>
    <w:rsid w:val="00362B68"/>
    <w:rsid w:val="00382D96"/>
    <w:rsid w:val="003B0418"/>
    <w:rsid w:val="003B092F"/>
    <w:rsid w:val="003B1FB1"/>
    <w:rsid w:val="003D4BC7"/>
    <w:rsid w:val="003F1C46"/>
    <w:rsid w:val="004239CB"/>
    <w:rsid w:val="00423B99"/>
    <w:rsid w:val="00426B68"/>
    <w:rsid w:val="00447B8C"/>
    <w:rsid w:val="00452FAB"/>
    <w:rsid w:val="0049115C"/>
    <w:rsid w:val="004A375B"/>
    <w:rsid w:val="004C18FD"/>
    <w:rsid w:val="004F163F"/>
    <w:rsid w:val="004F16F7"/>
    <w:rsid w:val="00512F71"/>
    <w:rsid w:val="00520A6D"/>
    <w:rsid w:val="00525DBD"/>
    <w:rsid w:val="00562569"/>
    <w:rsid w:val="00583543"/>
    <w:rsid w:val="005A7AE9"/>
    <w:rsid w:val="005C42FB"/>
    <w:rsid w:val="005C587D"/>
    <w:rsid w:val="00643AD6"/>
    <w:rsid w:val="0067722F"/>
    <w:rsid w:val="00704544"/>
    <w:rsid w:val="007C7984"/>
    <w:rsid w:val="00820D8C"/>
    <w:rsid w:val="00827B84"/>
    <w:rsid w:val="00855CD7"/>
    <w:rsid w:val="00874363"/>
    <w:rsid w:val="00882FC2"/>
    <w:rsid w:val="008D1A3A"/>
    <w:rsid w:val="008E2A0E"/>
    <w:rsid w:val="00903B74"/>
    <w:rsid w:val="00906971"/>
    <w:rsid w:val="00955D92"/>
    <w:rsid w:val="00972292"/>
    <w:rsid w:val="00991809"/>
    <w:rsid w:val="009C6783"/>
    <w:rsid w:val="009E54A4"/>
    <w:rsid w:val="009F3033"/>
    <w:rsid w:val="00A262A5"/>
    <w:rsid w:val="00A36045"/>
    <w:rsid w:val="00A40483"/>
    <w:rsid w:val="00A53D9A"/>
    <w:rsid w:val="00A96FAC"/>
    <w:rsid w:val="00AB064F"/>
    <w:rsid w:val="00AB28D5"/>
    <w:rsid w:val="00B5555D"/>
    <w:rsid w:val="00B55B05"/>
    <w:rsid w:val="00B66D8F"/>
    <w:rsid w:val="00B97F1E"/>
    <w:rsid w:val="00BF2265"/>
    <w:rsid w:val="00C3763E"/>
    <w:rsid w:val="00C37B65"/>
    <w:rsid w:val="00C57D49"/>
    <w:rsid w:val="00C62315"/>
    <w:rsid w:val="00C911BE"/>
    <w:rsid w:val="00C93C85"/>
    <w:rsid w:val="00CB79F5"/>
    <w:rsid w:val="00CC596C"/>
    <w:rsid w:val="00D004C8"/>
    <w:rsid w:val="00D057AE"/>
    <w:rsid w:val="00D32B2F"/>
    <w:rsid w:val="00D333DB"/>
    <w:rsid w:val="00D46121"/>
    <w:rsid w:val="00DB02E8"/>
    <w:rsid w:val="00DB188F"/>
    <w:rsid w:val="00DD6A9B"/>
    <w:rsid w:val="00DE09E7"/>
    <w:rsid w:val="00E0451A"/>
    <w:rsid w:val="00E10366"/>
    <w:rsid w:val="00E87D22"/>
    <w:rsid w:val="00ED6481"/>
    <w:rsid w:val="00EE3104"/>
    <w:rsid w:val="00F043A4"/>
    <w:rsid w:val="00F1116E"/>
    <w:rsid w:val="00F22B82"/>
    <w:rsid w:val="00F27261"/>
    <w:rsid w:val="00F66568"/>
    <w:rsid w:val="00F915E4"/>
    <w:rsid w:val="00FA162B"/>
    <w:rsid w:val="00FB72D3"/>
    <w:rsid w:val="01D152A8"/>
    <w:rsid w:val="0216715F"/>
    <w:rsid w:val="029C3B08"/>
    <w:rsid w:val="03015719"/>
    <w:rsid w:val="03667C72"/>
    <w:rsid w:val="04082AD7"/>
    <w:rsid w:val="04223157"/>
    <w:rsid w:val="04247911"/>
    <w:rsid w:val="04510922"/>
    <w:rsid w:val="050634BB"/>
    <w:rsid w:val="05065269"/>
    <w:rsid w:val="052851DF"/>
    <w:rsid w:val="05656433"/>
    <w:rsid w:val="05852631"/>
    <w:rsid w:val="05F61781"/>
    <w:rsid w:val="06456265"/>
    <w:rsid w:val="068C79F0"/>
    <w:rsid w:val="07027CB2"/>
    <w:rsid w:val="07342561"/>
    <w:rsid w:val="0737795B"/>
    <w:rsid w:val="0797664C"/>
    <w:rsid w:val="08387E2F"/>
    <w:rsid w:val="08705BE2"/>
    <w:rsid w:val="089555FD"/>
    <w:rsid w:val="08BF40AC"/>
    <w:rsid w:val="08EE04EE"/>
    <w:rsid w:val="0949606C"/>
    <w:rsid w:val="09AD03A9"/>
    <w:rsid w:val="09E63C5B"/>
    <w:rsid w:val="0A656ED5"/>
    <w:rsid w:val="0A7D7D7B"/>
    <w:rsid w:val="0A7F7F97"/>
    <w:rsid w:val="0A8778B8"/>
    <w:rsid w:val="0AE918B4"/>
    <w:rsid w:val="0AF73FD1"/>
    <w:rsid w:val="0B097861"/>
    <w:rsid w:val="0B5807E8"/>
    <w:rsid w:val="0B6131F9"/>
    <w:rsid w:val="0B7A69B0"/>
    <w:rsid w:val="0BF70001"/>
    <w:rsid w:val="0C2D2A4E"/>
    <w:rsid w:val="0C557735"/>
    <w:rsid w:val="0C590374"/>
    <w:rsid w:val="0C61547A"/>
    <w:rsid w:val="0CA37841"/>
    <w:rsid w:val="0CFD51A3"/>
    <w:rsid w:val="0D4234FE"/>
    <w:rsid w:val="0D447276"/>
    <w:rsid w:val="0E0A5DCA"/>
    <w:rsid w:val="0E4D5CB6"/>
    <w:rsid w:val="0E6F20D1"/>
    <w:rsid w:val="0E772D33"/>
    <w:rsid w:val="0EA31D7A"/>
    <w:rsid w:val="0ED10695"/>
    <w:rsid w:val="0F3A26DF"/>
    <w:rsid w:val="0F9D0EBF"/>
    <w:rsid w:val="0FF52AA9"/>
    <w:rsid w:val="1008458B"/>
    <w:rsid w:val="10BD35C7"/>
    <w:rsid w:val="11020FDA"/>
    <w:rsid w:val="11C62861"/>
    <w:rsid w:val="11D32976"/>
    <w:rsid w:val="12AA36D7"/>
    <w:rsid w:val="12D746E8"/>
    <w:rsid w:val="12F31522"/>
    <w:rsid w:val="13117FD2"/>
    <w:rsid w:val="13927D68"/>
    <w:rsid w:val="13946135"/>
    <w:rsid w:val="13A91BE1"/>
    <w:rsid w:val="13CB7DA9"/>
    <w:rsid w:val="13FB7F63"/>
    <w:rsid w:val="149B3826"/>
    <w:rsid w:val="14B95E54"/>
    <w:rsid w:val="14CD18FF"/>
    <w:rsid w:val="15237771"/>
    <w:rsid w:val="15284D87"/>
    <w:rsid w:val="1534197E"/>
    <w:rsid w:val="163360DA"/>
    <w:rsid w:val="167D1103"/>
    <w:rsid w:val="16D01B7A"/>
    <w:rsid w:val="16F47617"/>
    <w:rsid w:val="17680005"/>
    <w:rsid w:val="176E561B"/>
    <w:rsid w:val="17CE15BE"/>
    <w:rsid w:val="18100480"/>
    <w:rsid w:val="18860743"/>
    <w:rsid w:val="190A3122"/>
    <w:rsid w:val="19801636"/>
    <w:rsid w:val="19B337B9"/>
    <w:rsid w:val="1A5605E9"/>
    <w:rsid w:val="1AC26025"/>
    <w:rsid w:val="1AD75285"/>
    <w:rsid w:val="1ADF6BB7"/>
    <w:rsid w:val="1AFF658A"/>
    <w:rsid w:val="1B5E59A7"/>
    <w:rsid w:val="1CB02232"/>
    <w:rsid w:val="1D6848BB"/>
    <w:rsid w:val="1DFE521F"/>
    <w:rsid w:val="1E0839A8"/>
    <w:rsid w:val="1E2A1B70"/>
    <w:rsid w:val="1E876FC3"/>
    <w:rsid w:val="1EA731C1"/>
    <w:rsid w:val="1EE61F3B"/>
    <w:rsid w:val="1F132604"/>
    <w:rsid w:val="1F394761"/>
    <w:rsid w:val="1F642E60"/>
    <w:rsid w:val="1F745799"/>
    <w:rsid w:val="1FE30229"/>
    <w:rsid w:val="201E5705"/>
    <w:rsid w:val="202D76F6"/>
    <w:rsid w:val="20745325"/>
    <w:rsid w:val="20827A42"/>
    <w:rsid w:val="20E431BB"/>
    <w:rsid w:val="21237E5F"/>
    <w:rsid w:val="214468A8"/>
    <w:rsid w:val="215F5FD5"/>
    <w:rsid w:val="21845A3B"/>
    <w:rsid w:val="21A60926"/>
    <w:rsid w:val="21BF0821"/>
    <w:rsid w:val="228026A7"/>
    <w:rsid w:val="22D30A28"/>
    <w:rsid w:val="23957A8C"/>
    <w:rsid w:val="242F69A3"/>
    <w:rsid w:val="2556149D"/>
    <w:rsid w:val="255B3E0A"/>
    <w:rsid w:val="255B4D05"/>
    <w:rsid w:val="255D0A7D"/>
    <w:rsid w:val="258B383C"/>
    <w:rsid w:val="25DA20CE"/>
    <w:rsid w:val="26347A30"/>
    <w:rsid w:val="263F63D5"/>
    <w:rsid w:val="26597496"/>
    <w:rsid w:val="26962499"/>
    <w:rsid w:val="26D91416"/>
    <w:rsid w:val="274243CE"/>
    <w:rsid w:val="274E2D73"/>
    <w:rsid w:val="2767173F"/>
    <w:rsid w:val="27A75FE0"/>
    <w:rsid w:val="27D74B17"/>
    <w:rsid w:val="27FE6547"/>
    <w:rsid w:val="282633A8"/>
    <w:rsid w:val="28481571"/>
    <w:rsid w:val="285A74F6"/>
    <w:rsid w:val="28F214DC"/>
    <w:rsid w:val="2903193C"/>
    <w:rsid w:val="295201CD"/>
    <w:rsid w:val="29E67293"/>
    <w:rsid w:val="2A3F4BF5"/>
    <w:rsid w:val="2AE5754B"/>
    <w:rsid w:val="2B006133"/>
    <w:rsid w:val="2B05199B"/>
    <w:rsid w:val="2B326508"/>
    <w:rsid w:val="2B8723B0"/>
    <w:rsid w:val="2BE710A1"/>
    <w:rsid w:val="2C0C6D59"/>
    <w:rsid w:val="2C5524AE"/>
    <w:rsid w:val="2C5C383D"/>
    <w:rsid w:val="2C972AC7"/>
    <w:rsid w:val="2CBC252D"/>
    <w:rsid w:val="2CE33F5E"/>
    <w:rsid w:val="2CE52566"/>
    <w:rsid w:val="2D0D4B37"/>
    <w:rsid w:val="2D1C4D7A"/>
    <w:rsid w:val="2D2B1461"/>
    <w:rsid w:val="2DC23B73"/>
    <w:rsid w:val="2DFE26D1"/>
    <w:rsid w:val="2E6764C9"/>
    <w:rsid w:val="2E76670C"/>
    <w:rsid w:val="2EB23BE8"/>
    <w:rsid w:val="2F106B60"/>
    <w:rsid w:val="2F1321AD"/>
    <w:rsid w:val="2F3E191F"/>
    <w:rsid w:val="30134B5A"/>
    <w:rsid w:val="30731155"/>
    <w:rsid w:val="30B67293"/>
    <w:rsid w:val="30C41C15"/>
    <w:rsid w:val="312B7C81"/>
    <w:rsid w:val="31701B38"/>
    <w:rsid w:val="31A16195"/>
    <w:rsid w:val="31A35A6A"/>
    <w:rsid w:val="31CA56EC"/>
    <w:rsid w:val="32313075"/>
    <w:rsid w:val="323A4620"/>
    <w:rsid w:val="326A7638"/>
    <w:rsid w:val="32D83E39"/>
    <w:rsid w:val="32E20814"/>
    <w:rsid w:val="32E620B2"/>
    <w:rsid w:val="32F00525"/>
    <w:rsid w:val="331C5AD4"/>
    <w:rsid w:val="3381627F"/>
    <w:rsid w:val="33884F17"/>
    <w:rsid w:val="33C90AC3"/>
    <w:rsid w:val="34515C51"/>
    <w:rsid w:val="345D2848"/>
    <w:rsid w:val="34790D04"/>
    <w:rsid w:val="348D5BC3"/>
    <w:rsid w:val="357E2A76"/>
    <w:rsid w:val="35EB79DF"/>
    <w:rsid w:val="361433DA"/>
    <w:rsid w:val="36FA437E"/>
    <w:rsid w:val="372B09DB"/>
    <w:rsid w:val="37647A49"/>
    <w:rsid w:val="376D0FF4"/>
    <w:rsid w:val="37712166"/>
    <w:rsid w:val="37732382"/>
    <w:rsid w:val="380F5C07"/>
    <w:rsid w:val="38367638"/>
    <w:rsid w:val="385C4BC4"/>
    <w:rsid w:val="38F82B3F"/>
    <w:rsid w:val="39AD3929"/>
    <w:rsid w:val="39F72DF7"/>
    <w:rsid w:val="3A83468A"/>
    <w:rsid w:val="3AD4138A"/>
    <w:rsid w:val="3AF65D44"/>
    <w:rsid w:val="3B565F45"/>
    <w:rsid w:val="3B9C3C56"/>
    <w:rsid w:val="3BB0325D"/>
    <w:rsid w:val="3C221C81"/>
    <w:rsid w:val="3C5C33E5"/>
    <w:rsid w:val="3CA134EE"/>
    <w:rsid w:val="3CE33B06"/>
    <w:rsid w:val="3D5B369C"/>
    <w:rsid w:val="3D734E8A"/>
    <w:rsid w:val="3DA54918"/>
    <w:rsid w:val="3DD35929"/>
    <w:rsid w:val="3EC7186C"/>
    <w:rsid w:val="3EF73899"/>
    <w:rsid w:val="3F5B6F5B"/>
    <w:rsid w:val="3F6251B6"/>
    <w:rsid w:val="3F7153F9"/>
    <w:rsid w:val="3F8844F1"/>
    <w:rsid w:val="3F982986"/>
    <w:rsid w:val="403A57EB"/>
    <w:rsid w:val="404D19C2"/>
    <w:rsid w:val="40774C91"/>
    <w:rsid w:val="40BB2DD0"/>
    <w:rsid w:val="41315419"/>
    <w:rsid w:val="413C37E5"/>
    <w:rsid w:val="41C061C4"/>
    <w:rsid w:val="41CE268F"/>
    <w:rsid w:val="41CF4659"/>
    <w:rsid w:val="41FF0A9A"/>
    <w:rsid w:val="4214206C"/>
    <w:rsid w:val="42255290"/>
    <w:rsid w:val="42440BA3"/>
    <w:rsid w:val="427F607F"/>
    <w:rsid w:val="435B61A4"/>
    <w:rsid w:val="43B379E1"/>
    <w:rsid w:val="443469F5"/>
    <w:rsid w:val="446F063A"/>
    <w:rsid w:val="448654A3"/>
    <w:rsid w:val="448C6831"/>
    <w:rsid w:val="448E7BDD"/>
    <w:rsid w:val="44C61D43"/>
    <w:rsid w:val="44F92119"/>
    <w:rsid w:val="45240818"/>
    <w:rsid w:val="4537AFC8"/>
    <w:rsid w:val="469A5235"/>
    <w:rsid w:val="4712301E"/>
    <w:rsid w:val="472D60AA"/>
    <w:rsid w:val="477C2B8D"/>
    <w:rsid w:val="481608EC"/>
    <w:rsid w:val="48217291"/>
    <w:rsid w:val="48967C7F"/>
    <w:rsid w:val="48E22EC4"/>
    <w:rsid w:val="48EB621C"/>
    <w:rsid w:val="490F4126"/>
    <w:rsid w:val="49557B3A"/>
    <w:rsid w:val="498B5309"/>
    <w:rsid w:val="49935F6C"/>
    <w:rsid w:val="49C600F0"/>
    <w:rsid w:val="49D40A5E"/>
    <w:rsid w:val="4A007AA5"/>
    <w:rsid w:val="4A6F2535"/>
    <w:rsid w:val="4AD4683C"/>
    <w:rsid w:val="4B0709C0"/>
    <w:rsid w:val="4B1D6435"/>
    <w:rsid w:val="4C0B2731"/>
    <w:rsid w:val="4C4023DB"/>
    <w:rsid w:val="4C4874E2"/>
    <w:rsid w:val="4CF60CEC"/>
    <w:rsid w:val="4D5F0F87"/>
    <w:rsid w:val="4D7A36CB"/>
    <w:rsid w:val="4D924EB8"/>
    <w:rsid w:val="4DB148AE"/>
    <w:rsid w:val="4DE80F7C"/>
    <w:rsid w:val="4E2875CB"/>
    <w:rsid w:val="4E3B72FE"/>
    <w:rsid w:val="4E4769A2"/>
    <w:rsid w:val="4E6525CD"/>
    <w:rsid w:val="4EF83441"/>
    <w:rsid w:val="4F9D18F3"/>
    <w:rsid w:val="4FBA4253"/>
    <w:rsid w:val="506A211C"/>
    <w:rsid w:val="50A8054F"/>
    <w:rsid w:val="50B45146"/>
    <w:rsid w:val="50DE6667"/>
    <w:rsid w:val="512978E2"/>
    <w:rsid w:val="516C77CE"/>
    <w:rsid w:val="517F7502"/>
    <w:rsid w:val="519805C3"/>
    <w:rsid w:val="51A60F32"/>
    <w:rsid w:val="51AD6837"/>
    <w:rsid w:val="51C27D36"/>
    <w:rsid w:val="51CE0489"/>
    <w:rsid w:val="526A01B2"/>
    <w:rsid w:val="52D03D8D"/>
    <w:rsid w:val="533267F6"/>
    <w:rsid w:val="53B65679"/>
    <w:rsid w:val="540C7047"/>
    <w:rsid w:val="54232D0E"/>
    <w:rsid w:val="54CD4A28"/>
    <w:rsid w:val="54CF07A0"/>
    <w:rsid w:val="54D20290"/>
    <w:rsid w:val="55101FBA"/>
    <w:rsid w:val="55410F72"/>
    <w:rsid w:val="554A7E27"/>
    <w:rsid w:val="55B55BE8"/>
    <w:rsid w:val="560C332E"/>
    <w:rsid w:val="56350AD7"/>
    <w:rsid w:val="564A4C3B"/>
    <w:rsid w:val="56EB4579"/>
    <w:rsid w:val="56F3629C"/>
    <w:rsid w:val="56F75D8C"/>
    <w:rsid w:val="56FA762A"/>
    <w:rsid w:val="57234DD3"/>
    <w:rsid w:val="576D604E"/>
    <w:rsid w:val="57D76E72"/>
    <w:rsid w:val="57DA7DE2"/>
    <w:rsid w:val="58030761"/>
    <w:rsid w:val="58727DC0"/>
    <w:rsid w:val="58A61818"/>
    <w:rsid w:val="58EB1921"/>
    <w:rsid w:val="593A6404"/>
    <w:rsid w:val="596C1D15"/>
    <w:rsid w:val="59914276"/>
    <w:rsid w:val="59975605"/>
    <w:rsid w:val="59BE0DE3"/>
    <w:rsid w:val="59DF76D7"/>
    <w:rsid w:val="5B1C2265"/>
    <w:rsid w:val="5B294982"/>
    <w:rsid w:val="5B7F0742"/>
    <w:rsid w:val="5BDFB8A4"/>
    <w:rsid w:val="5C904CB9"/>
    <w:rsid w:val="5D0C00B7"/>
    <w:rsid w:val="5D535CE6"/>
    <w:rsid w:val="5D5A7075"/>
    <w:rsid w:val="5DE80B25"/>
    <w:rsid w:val="5E211941"/>
    <w:rsid w:val="5E323B4E"/>
    <w:rsid w:val="5E9B7A9B"/>
    <w:rsid w:val="5F6366B5"/>
    <w:rsid w:val="5FAD0D7A"/>
    <w:rsid w:val="602A2D2E"/>
    <w:rsid w:val="606F72DB"/>
    <w:rsid w:val="608C39E9"/>
    <w:rsid w:val="61A15272"/>
    <w:rsid w:val="61BF1B9C"/>
    <w:rsid w:val="61EB473F"/>
    <w:rsid w:val="624A590A"/>
    <w:rsid w:val="624C78D4"/>
    <w:rsid w:val="62922E0D"/>
    <w:rsid w:val="629D1EDE"/>
    <w:rsid w:val="62CE02E9"/>
    <w:rsid w:val="6300246C"/>
    <w:rsid w:val="634C7460"/>
    <w:rsid w:val="639037F0"/>
    <w:rsid w:val="63BC6393"/>
    <w:rsid w:val="642B3519"/>
    <w:rsid w:val="643A375C"/>
    <w:rsid w:val="64721148"/>
    <w:rsid w:val="64942E6C"/>
    <w:rsid w:val="64C5396E"/>
    <w:rsid w:val="65984BDE"/>
    <w:rsid w:val="65F8567D"/>
    <w:rsid w:val="665F56FC"/>
    <w:rsid w:val="66770C98"/>
    <w:rsid w:val="671C7B6A"/>
    <w:rsid w:val="675D7E8D"/>
    <w:rsid w:val="67C940D7"/>
    <w:rsid w:val="67E57CE6"/>
    <w:rsid w:val="68272538"/>
    <w:rsid w:val="689E42BA"/>
    <w:rsid w:val="68E87C2B"/>
    <w:rsid w:val="68FE744E"/>
    <w:rsid w:val="694330B3"/>
    <w:rsid w:val="69601EB7"/>
    <w:rsid w:val="69635503"/>
    <w:rsid w:val="696C260A"/>
    <w:rsid w:val="69E44896"/>
    <w:rsid w:val="69EC72A7"/>
    <w:rsid w:val="6A334ED5"/>
    <w:rsid w:val="6A5437CA"/>
    <w:rsid w:val="6A554E4C"/>
    <w:rsid w:val="6A70612A"/>
    <w:rsid w:val="6A935974"/>
    <w:rsid w:val="6A9811DC"/>
    <w:rsid w:val="6AC67AF8"/>
    <w:rsid w:val="6AD541DF"/>
    <w:rsid w:val="6AFA59F3"/>
    <w:rsid w:val="6AFF300A"/>
    <w:rsid w:val="6B2313EE"/>
    <w:rsid w:val="6B4A24D7"/>
    <w:rsid w:val="6B685053"/>
    <w:rsid w:val="6BCE3108"/>
    <w:rsid w:val="6C44786E"/>
    <w:rsid w:val="6CC14A1B"/>
    <w:rsid w:val="6CDC7AA6"/>
    <w:rsid w:val="6D196605"/>
    <w:rsid w:val="6D1F1741"/>
    <w:rsid w:val="6D3A657B"/>
    <w:rsid w:val="6DD62748"/>
    <w:rsid w:val="6E245261"/>
    <w:rsid w:val="6E7D2BC3"/>
    <w:rsid w:val="6EA42846"/>
    <w:rsid w:val="6ECD58F9"/>
    <w:rsid w:val="6EDE7B06"/>
    <w:rsid w:val="6F394D3C"/>
    <w:rsid w:val="6FAB550E"/>
    <w:rsid w:val="6FF7F5B7"/>
    <w:rsid w:val="704F233D"/>
    <w:rsid w:val="7075449A"/>
    <w:rsid w:val="731004AA"/>
    <w:rsid w:val="73375A36"/>
    <w:rsid w:val="738549F4"/>
    <w:rsid w:val="73D56FFD"/>
    <w:rsid w:val="73EF5025"/>
    <w:rsid w:val="74065409"/>
    <w:rsid w:val="74122000"/>
    <w:rsid w:val="741B0EB4"/>
    <w:rsid w:val="74582108"/>
    <w:rsid w:val="745A5E80"/>
    <w:rsid w:val="74746816"/>
    <w:rsid w:val="74806F69"/>
    <w:rsid w:val="749E3893"/>
    <w:rsid w:val="74BD01BD"/>
    <w:rsid w:val="74C23A26"/>
    <w:rsid w:val="74CB0B2C"/>
    <w:rsid w:val="74E90FB2"/>
    <w:rsid w:val="74E97204"/>
    <w:rsid w:val="75812F99"/>
    <w:rsid w:val="75986535"/>
    <w:rsid w:val="75D94B83"/>
    <w:rsid w:val="75E654F2"/>
    <w:rsid w:val="764A782F"/>
    <w:rsid w:val="764C17F9"/>
    <w:rsid w:val="76911902"/>
    <w:rsid w:val="77672662"/>
    <w:rsid w:val="77A2369A"/>
    <w:rsid w:val="77DA2E34"/>
    <w:rsid w:val="77DD2F93"/>
    <w:rsid w:val="791D122B"/>
    <w:rsid w:val="793A6280"/>
    <w:rsid w:val="79E331AC"/>
    <w:rsid w:val="79F3918E"/>
    <w:rsid w:val="79FC52E4"/>
    <w:rsid w:val="7A150154"/>
    <w:rsid w:val="7A6510DB"/>
    <w:rsid w:val="7A94551C"/>
    <w:rsid w:val="7AC676A0"/>
    <w:rsid w:val="7B046B46"/>
    <w:rsid w:val="7B4F7695"/>
    <w:rsid w:val="7B57268A"/>
    <w:rsid w:val="7C507B69"/>
    <w:rsid w:val="7CA13F21"/>
    <w:rsid w:val="7D4C0330"/>
    <w:rsid w:val="7D5E1E12"/>
    <w:rsid w:val="7D807FDA"/>
    <w:rsid w:val="7DAA5057"/>
    <w:rsid w:val="7E046E5D"/>
    <w:rsid w:val="7E635932"/>
    <w:rsid w:val="7E7A711F"/>
    <w:rsid w:val="7E7E6C0F"/>
    <w:rsid w:val="7E8D0C00"/>
    <w:rsid w:val="7EAD3051"/>
    <w:rsid w:val="7F0C421B"/>
    <w:rsid w:val="7F1C3D32"/>
    <w:rsid w:val="7F4B468A"/>
    <w:rsid w:val="7FDD5BB8"/>
    <w:rsid w:val="7FEF3EB3"/>
    <w:rsid w:val="7FFA22C6"/>
    <w:rsid w:val="AF5E5452"/>
    <w:rsid w:val="BCBDD078"/>
    <w:rsid w:val="E3FF35FA"/>
    <w:rsid w:val="E6D832CE"/>
    <w:rsid w:val="FFF8D29C"/>
    <w:rsid w:val="FFFF1A08"/>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widowControl/>
      <w:spacing w:before="150" w:after="100" w:afterAutospacing="1" w:line="480" w:lineRule="auto"/>
      <w:jc w:val="center"/>
      <w:outlineLvl w:val="0"/>
    </w:pPr>
    <w:rPr>
      <w:rFonts w:ascii="黑体" w:hAnsi="宋体" w:eastAsia="黑体"/>
      <w:color w:val="0F1214"/>
      <w:kern w:val="36"/>
      <w:sz w:val="36"/>
      <w:szCs w:val="36"/>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Normal Indent"/>
    <w:basedOn w:val="1"/>
    <w:semiHidden/>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宋体"/>
      <w:kern w:val="2"/>
      <w:sz w:val="21"/>
      <w:szCs w:val="21"/>
      <w:lang w:val="en-US" w:eastAsia="zh-CN" w:bidi="ar"/>
    </w:rPr>
  </w:style>
  <w:style w:type="paragraph" w:styleId="4">
    <w:name w:val="Body Text"/>
    <w:basedOn w:val="1"/>
    <w:link w:val="28"/>
    <w:semiHidden/>
    <w:unhideWhenUsed/>
    <w:qFormat/>
    <w:uiPriority w:val="99"/>
    <w:pPr>
      <w:keepNext w:val="0"/>
      <w:keepLines w:val="0"/>
      <w:widowControl w:val="0"/>
      <w:suppressLineNumbers w:val="0"/>
      <w:autoSpaceDE w:val="0"/>
      <w:autoSpaceDN w:val="0"/>
      <w:spacing w:before="0" w:beforeAutospacing="0" w:after="0" w:afterAutospacing="0"/>
      <w:ind w:left="0" w:right="0"/>
      <w:jc w:val="left"/>
    </w:pPr>
    <w:rPr>
      <w:rFonts w:hint="eastAsia" w:ascii="仿宋_GB2312" w:hAnsi="仿宋_GB2312" w:eastAsia="仿宋_GB2312" w:cs="仿宋_GB2312"/>
      <w:kern w:val="0"/>
      <w:sz w:val="32"/>
      <w:szCs w:val="32"/>
      <w:lang w:val="en-US" w:eastAsia="zh-CN" w:bidi="ar"/>
    </w:rPr>
  </w:style>
  <w:style w:type="paragraph" w:styleId="5">
    <w:name w:val="Balloon Text"/>
    <w:basedOn w:val="1"/>
    <w:link w:val="17"/>
    <w:unhideWhenUsed/>
    <w:qFormat/>
    <w:uiPriority w:val="99"/>
    <w:rPr>
      <w:sz w:val="18"/>
      <w:szCs w:val="18"/>
    </w:rPr>
  </w:style>
  <w:style w:type="paragraph" w:styleId="6">
    <w:name w:val="footer"/>
    <w:basedOn w:val="1"/>
    <w:link w:val="27"/>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character" w:styleId="11">
    <w:name w:val="Hyperlink"/>
    <w:semiHidden/>
    <w:unhideWhenUsed/>
    <w:qFormat/>
    <w:uiPriority w:val="99"/>
    <w:rPr>
      <w:rFonts w:ascii="Calibri" w:hAnsi="Calibri" w:eastAsia="宋体" w:cs="Calibri"/>
      <w:color w:val="0000FF"/>
      <w:u w:val="single"/>
    </w:rPr>
  </w:style>
  <w:style w:type="paragraph" w:customStyle="1" w:styleId="12">
    <w:name w:val="_Style 11"/>
    <w:unhideWhenUsed/>
    <w:qFormat/>
    <w:uiPriority w:val="99"/>
    <w:rPr>
      <w:rFonts w:ascii="Calibri" w:hAnsi="Calibri" w:eastAsia="宋体" w:cs="Calibri"/>
      <w:kern w:val="2"/>
      <w:sz w:val="21"/>
      <w:szCs w:val="22"/>
      <w:lang w:val="en-US" w:eastAsia="zh-CN" w:bidi="ar-SA"/>
    </w:rPr>
  </w:style>
  <w:style w:type="character" w:customStyle="1" w:styleId="13">
    <w:name w:val="font51"/>
    <w:qFormat/>
    <w:uiPriority w:val="0"/>
    <w:rPr>
      <w:rFonts w:hint="eastAsia" w:ascii="仿宋" w:hAnsi="仿宋" w:eastAsia="仿宋" w:cs="仿宋"/>
      <w:color w:val="000000"/>
      <w:sz w:val="22"/>
      <w:szCs w:val="22"/>
      <w:u w:val="none"/>
    </w:rPr>
  </w:style>
  <w:style w:type="character" w:customStyle="1" w:styleId="14">
    <w:name w:val="article_title"/>
    <w:qFormat/>
    <w:uiPriority w:val="0"/>
  </w:style>
  <w:style w:type="character" w:customStyle="1" w:styleId="15">
    <w:name w:val="页脚 字符"/>
    <w:qFormat/>
    <w:uiPriority w:val="0"/>
    <w:rPr>
      <w:rFonts w:ascii="Calibri" w:hAnsi="Calibri" w:eastAsia="宋体" w:cs="Calibri"/>
      <w:kern w:val="2"/>
      <w:sz w:val="18"/>
      <w:szCs w:val="18"/>
    </w:rPr>
  </w:style>
  <w:style w:type="character" w:customStyle="1" w:styleId="16">
    <w:name w:val="批注框文本 Char"/>
    <w:link w:val="5"/>
    <w:semiHidden/>
    <w:qFormat/>
    <w:uiPriority w:val="99"/>
    <w:rPr>
      <w:kern w:val="2"/>
      <w:sz w:val="18"/>
      <w:szCs w:val="18"/>
    </w:rPr>
  </w:style>
  <w:style w:type="character" w:customStyle="1" w:styleId="17">
    <w:name w:val="批注框文本 字符"/>
    <w:link w:val="5"/>
    <w:qFormat/>
    <w:uiPriority w:val="0"/>
    <w:rPr>
      <w:rFonts w:ascii="Calibri" w:hAnsi="Calibri" w:eastAsia="宋体" w:cs="Calibri"/>
      <w:kern w:val="2"/>
      <w:sz w:val="18"/>
      <w:szCs w:val="18"/>
    </w:rPr>
  </w:style>
  <w:style w:type="character" w:customStyle="1" w:styleId="18">
    <w:name w:val="标题 1 Char"/>
    <w:link w:val="2"/>
    <w:qFormat/>
    <w:uiPriority w:val="0"/>
    <w:rPr>
      <w:rFonts w:ascii="黑体" w:hAnsi="宋体" w:eastAsia="黑体" w:cs="宋体"/>
      <w:color w:val="0F1214"/>
      <w:kern w:val="36"/>
      <w:sz w:val="36"/>
      <w:szCs w:val="36"/>
    </w:rPr>
  </w:style>
  <w:style w:type="character" w:customStyle="1" w:styleId="19">
    <w:name w:val="页眉 字符2"/>
    <w:link w:val="7"/>
    <w:semiHidden/>
    <w:qFormat/>
    <w:uiPriority w:val="99"/>
    <w:rPr>
      <w:rFonts w:ascii="Calibri" w:hAnsi="Calibri" w:eastAsia="宋体" w:cs="Calibri"/>
      <w:kern w:val="2"/>
      <w:sz w:val="18"/>
      <w:szCs w:val="18"/>
    </w:rPr>
  </w:style>
  <w:style w:type="character" w:customStyle="1" w:styleId="20">
    <w:name w:val="页脚 字符1"/>
    <w:qFormat/>
    <w:uiPriority w:val="0"/>
    <w:rPr>
      <w:rFonts w:ascii="Calibri" w:hAnsi="Calibri" w:eastAsia="宋体" w:cs="Calibri"/>
      <w:kern w:val="2"/>
      <w:sz w:val="18"/>
      <w:szCs w:val="18"/>
    </w:rPr>
  </w:style>
  <w:style w:type="character" w:customStyle="1" w:styleId="21">
    <w:name w:val="font61"/>
    <w:qFormat/>
    <w:uiPriority w:val="0"/>
    <w:rPr>
      <w:rFonts w:ascii="Arial" w:hAnsi="Arial" w:eastAsia="宋体" w:cs="Arial"/>
      <w:color w:val="000000"/>
      <w:sz w:val="22"/>
      <w:szCs w:val="22"/>
      <w:u w:val="none"/>
    </w:rPr>
  </w:style>
  <w:style w:type="character" w:customStyle="1" w:styleId="22">
    <w:name w:val="页眉 Char"/>
    <w:link w:val="7"/>
    <w:qFormat/>
    <w:uiPriority w:val="99"/>
    <w:rPr>
      <w:kern w:val="2"/>
      <w:sz w:val="18"/>
      <w:szCs w:val="18"/>
    </w:rPr>
  </w:style>
  <w:style w:type="character" w:customStyle="1" w:styleId="23">
    <w:name w:val="font21"/>
    <w:qFormat/>
    <w:uiPriority w:val="0"/>
    <w:rPr>
      <w:rFonts w:hint="eastAsia" w:ascii="黑体" w:hAnsi="宋体" w:eastAsia="黑体" w:cs="黑体"/>
      <w:color w:val="000000"/>
      <w:sz w:val="22"/>
      <w:szCs w:val="22"/>
      <w:u w:val="none"/>
    </w:rPr>
  </w:style>
  <w:style w:type="character" w:customStyle="1" w:styleId="24">
    <w:name w:val="font31"/>
    <w:qFormat/>
    <w:uiPriority w:val="0"/>
    <w:rPr>
      <w:rFonts w:hint="eastAsia" w:ascii="仿宋" w:hAnsi="仿宋" w:eastAsia="仿宋" w:cs="仿宋"/>
      <w:b/>
      <w:bCs/>
      <w:color w:val="000000"/>
      <w:sz w:val="22"/>
      <w:szCs w:val="22"/>
      <w:u w:val="none"/>
    </w:rPr>
  </w:style>
  <w:style w:type="character" w:customStyle="1" w:styleId="25">
    <w:name w:val="页脚 字符2"/>
    <w:link w:val="6"/>
    <w:semiHidden/>
    <w:qFormat/>
    <w:uiPriority w:val="99"/>
    <w:rPr>
      <w:rFonts w:ascii="Calibri" w:hAnsi="Calibri" w:eastAsia="宋体" w:cs="Calibri"/>
      <w:kern w:val="2"/>
      <w:sz w:val="18"/>
      <w:szCs w:val="18"/>
    </w:rPr>
  </w:style>
  <w:style w:type="character" w:customStyle="1" w:styleId="26">
    <w:name w:val="页眉 字符"/>
    <w:qFormat/>
    <w:uiPriority w:val="0"/>
    <w:rPr>
      <w:rFonts w:ascii="Calibri" w:hAnsi="Calibri" w:eastAsia="宋体" w:cs="Calibri"/>
      <w:kern w:val="2"/>
      <w:sz w:val="18"/>
      <w:szCs w:val="18"/>
    </w:rPr>
  </w:style>
  <w:style w:type="character" w:customStyle="1" w:styleId="27">
    <w:name w:val="页脚 Char"/>
    <w:link w:val="6"/>
    <w:qFormat/>
    <w:uiPriority w:val="99"/>
    <w:rPr>
      <w:kern w:val="2"/>
      <w:sz w:val="18"/>
      <w:szCs w:val="18"/>
    </w:rPr>
  </w:style>
  <w:style w:type="character" w:customStyle="1" w:styleId="28">
    <w:name w:val="正文文本 字符"/>
    <w:link w:val="4"/>
    <w:qFormat/>
    <w:uiPriority w:val="0"/>
    <w:rPr>
      <w:rFonts w:hint="eastAsia" w:ascii="仿宋_GB2312" w:hAnsi="仿宋_GB2312" w:eastAsia="仿宋_GB2312" w:cs="仿宋_GB2312"/>
      <w:kern w:val="0"/>
      <w:sz w:val="32"/>
      <w:szCs w:val="32"/>
      <w:lang w:val="en-US" w:eastAsia="zh-CN" w:bidi="ar"/>
    </w:rPr>
  </w:style>
  <w:style w:type="character" w:customStyle="1" w:styleId="29">
    <w:name w:val="页眉 字符1"/>
    <w:qFormat/>
    <w:uiPriority w:val="0"/>
    <w:rPr>
      <w:rFonts w:ascii="Calibri" w:hAnsi="Calibri" w:eastAsia="宋体" w:cs="Calibri"/>
      <w:kern w:val="2"/>
      <w:sz w:val="18"/>
      <w:szCs w:val="18"/>
    </w:rPr>
  </w:style>
  <w:style w:type="character" w:customStyle="1" w:styleId="30">
    <w:name w:val="font41"/>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Zhuozhengsoft</Company>
  <Pages>12</Pages>
  <Words>1425</Words>
  <Characters>1482</Characters>
  <Lines>1</Lines>
  <Paragraphs>1</Paragraphs>
  <TotalTime>44</TotalTime>
  <ScaleCrop>false</ScaleCrop>
  <LinksUpToDate>false</LinksUpToDate>
  <CharactersWithSpaces>1555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2012-06-29T01:39:00Z</dcterms:created>
  <dc:creator>somebody</dc:creator>
  <cp:lastModifiedBy>╰┛⒈泩无悔┏╮</cp:lastModifiedBy>
  <cp:lastPrinted>2022-12-05T09:52:00Z</cp:lastPrinted>
  <dcterms:modified xsi:type="dcterms:W3CDTF">2025-06-11T01:08:46Z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E78A388EA45545B28721BC6F270824B5_13</vt:lpwstr>
  </property>
  <property fmtid="{D5CDD505-2E9C-101B-9397-08002B2CF9AE}" pid="4" name="KSOTemplateDocerSaveRecord">
    <vt:lpwstr>eyJoZGlkIjoiNTlmYjVhOThkNzBlOWZlODMzY2Q2OWMxZjQ5YzkwMWEiLCJ1c2VySWQiOiIzOTMyOTg1MTUifQ==</vt:lpwstr>
  </property>
</Properties>
</file>