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sz w:val="32"/>
          <w:szCs w:val="32"/>
        </w:rPr>
      </w:pPr>
      <w:r>
        <w:rPr>
          <w:rFonts w:hint="eastAsia" w:ascii="微软雅黑" w:hAnsi="微软雅黑" w:eastAsia="微软雅黑" w:cs="微软雅黑"/>
          <w:b/>
          <w:bCs/>
          <w:sz w:val="32"/>
          <w:szCs w:val="32"/>
        </w:rPr>
        <w:t>关于邵阳学院大学生社团文化节项目管理的有关说明</w:t>
      </w:r>
    </w:p>
    <w:p>
      <w:pPr>
        <w:rPr>
          <w:rFonts w:ascii="宋体" w:hAnsi="宋体"/>
          <w:sz w:val="28"/>
          <w:szCs w:val="28"/>
        </w:rPr>
      </w:pPr>
      <w:bookmarkStart w:id="0" w:name="_GoBack"/>
      <w:bookmarkEnd w:id="0"/>
    </w:p>
    <w:p>
      <w:pPr>
        <w:rPr>
          <w:rFonts w:ascii="宋体" w:hAnsi="宋体"/>
          <w:sz w:val="28"/>
          <w:szCs w:val="28"/>
        </w:rPr>
      </w:pPr>
      <w:r>
        <w:rPr>
          <w:rFonts w:hint="eastAsia" w:ascii="宋体" w:hAnsi="宋体"/>
          <w:sz w:val="28"/>
          <w:szCs w:val="28"/>
        </w:rPr>
        <w:t>各学生社团：</w:t>
      </w:r>
    </w:p>
    <w:p>
      <w:pPr>
        <w:ind w:firstLine="560" w:firstLineChars="200"/>
        <w:rPr>
          <w:rFonts w:ascii="宋体" w:hAnsi="宋体"/>
          <w:sz w:val="28"/>
          <w:szCs w:val="28"/>
        </w:rPr>
      </w:pPr>
      <w:r>
        <w:rPr>
          <w:rFonts w:hint="eastAsia" w:ascii="宋体" w:hAnsi="宋体"/>
          <w:sz w:val="28"/>
          <w:szCs w:val="28"/>
        </w:rPr>
        <w:t>为规范社团文化节活动的项目化管理，根据《关于开展邵阳学院第十三届大学生社团文化节的通知》（校团联[2019]04号）和《学生社团活动管理办法》的有关通知，现对已经立项为第十三届大学生社团文化节社团文化节活动的项目做如下要求：</w:t>
      </w:r>
    </w:p>
    <w:p>
      <w:pPr>
        <w:numPr>
          <w:ilvl w:val="0"/>
          <w:numId w:val="1"/>
        </w:numPr>
        <w:ind w:firstLine="560" w:firstLineChars="200"/>
        <w:rPr>
          <w:rFonts w:ascii="宋体" w:hAnsi="宋体"/>
          <w:sz w:val="28"/>
          <w:szCs w:val="28"/>
        </w:rPr>
      </w:pPr>
      <w:r>
        <w:rPr>
          <w:rFonts w:hint="eastAsia" w:ascii="宋体" w:hAnsi="宋体"/>
          <w:sz w:val="28"/>
          <w:szCs w:val="28"/>
        </w:rPr>
        <w:t>活动审批</w:t>
      </w:r>
    </w:p>
    <w:p>
      <w:pPr>
        <w:ind w:firstLine="560" w:firstLineChars="200"/>
        <w:rPr>
          <w:rFonts w:ascii="宋体" w:hAnsi="宋体"/>
          <w:sz w:val="28"/>
          <w:szCs w:val="28"/>
        </w:rPr>
      </w:pPr>
      <w:r>
        <w:rPr>
          <w:rFonts w:hint="eastAsia" w:ascii="宋体" w:hAnsi="宋体"/>
          <w:sz w:val="28"/>
          <w:szCs w:val="28"/>
        </w:rPr>
        <w:t>活动开</w:t>
      </w:r>
      <w:r>
        <w:rPr>
          <w:rFonts w:hint="eastAsia" w:ascii="宋体" w:hAnsi="宋体"/>
          <w:sz w:val="28"/>
          <w:szCs w:val="28"/>
          <w:u w:val="single"/>
        </w:rPr>
        <w:t>展前一周内需提交活动的通知文件、《邵阳学院学生社团经费预算表》和《邵阳学院学生社团活动申请表》,经指导单位审核盖章</w:t>
      </w:r>
      <w:r>
        <w:rPr>
          <w:rFonts w:hint="eastAsia" w:ascii="宋体" w:hAnsi="宋体"/>
          <w:sz w:val="28"/>
          <w:szCs w:val="28"/>
        </w:rPr>
        <w:t>后至校学生社团联合会项目部登记，待团委审批通过后方可开展。</w:t>
      </w:r>
    </w:p>
    <w:p>
      <w:pPr>
        <w:numPr>
          <w:ilvl w:val="0"/>
          <w:numId w:val="1"/>
        </w:numPr>
        <w:ind w:firstLine="560" w:firstLineChars="200"/>
        <w:rPr>
          <w:rFonts w:ascii="宋体" w:hAnsi="宋体"/>
          <w:sz w:val="28"/>
          <w:szCs w:val="28"/>
        </w:rPr>
      </w:pPr>
      <w:r>
        <w:rPr>
          <w:rFonts w:hint="eastAsia" w:ascii="宋体" w:hAnsi="宋体"/>
          <w:sz w:val="28"/>
          <w:szCs w:val="28"/>
        </w:rPr>
        <w:t>活动过程管理</w:t>
      </w:r>
    </w:p>
    <w:p>
      <w:pPr>
        <w:numPr>
          <w:ilvl w:val="0"/>
          <w:numId w:val="2"/>
        </w:numPr>
        <w:ind w:firstLine="560" w:firstLineChars="200"/>
        <w:rPr>
          <w:rFonts w:ascii="宋体" w:hAnsi="宋体"/>
          <w:sz w:val="28"/>
          <w:szCs w:val="28"/>
        </w:rPr>
      </w:pPr>
      <w:r>
        <w:rPr>
          <w:rFonts w:hint="eastAsia" w:ascii="宋体" w:hAnsi="宋体"/>
          <w:sz w:val="28"/>
          <w:szCs w:val="28"/>
        </w:rPr>
        <w:t>活动宣传。活动开展前可联系校学社联宣传外联部，提供相关新闻线索，做好相应活动宣传。</w:t>
      </w:r>
    </w:p>
    <w:p>
      <w:pPr>
        <w:ind w:firstLine="560" w:firstLineChars="200"/>
        <w:rPr>
          <w:rFonts w:ascii="宋体" w:hAnsi="宋体"/>
          <w:sz w:val="28"/>
          <w:szCs w:val="28"/>
        </w:rPr>
      </w:pPr>
      <w:r>
        <w:rPr>
          <w:rFonts w:hint="eastAsia" w:ascii="宋体" w:hAnsi="宋体"/>
          <w:sz w:val="28"/>
          <w:szCs w:val="28"/>
        </w:rPr>
        <w:t>2、校学社联项目部将对所有立项的社团文化节活动进行跟踪记录，并对活动开展情况做好情况记录表，作为验收结果重要依据。（如有活动时间调整，请提前报项目部）</w:t>
      </w:r>
    </w:p>
    <w:p>
      <w:pPr>
        <w:numPr>
          <w:ilvl w:val="0"/>
          <w:numId w:val="1"/>
        </w:numPr>
        <w:ind w:firstLine="560" w:firstLineChars="200"/>
        <w:rPr>
          <w:rFonts w:ascii="宋体" w:hAnsi="宋体"/>
          <w:sz w:val="28"/>
          <w:szCs w:val="28"/>
        </w:rPr>
      </w:pPr>
      <w:r>
        <w:rPr>
          <w:rFonts w:hint="eastAsia" w:ascii="宋体" w:hAnsi="宋体"/>
          <w:sz w:val="28"/>
          <w:szCs w:val="28"/>
        </w:rPr>
        <w:t>活动总结、验收</w:t>
      </w:r>
    </w:p>
    <w:p>
      <w:pPr>
        <w:ind w:firstLine="560" w:firstLineChars="200"/>
        <w:rPr>
          <w:rFonts w:ascii="宋体" w:hAnsi="宋体"/>
          <w:sz w:val="28"/>
          <w:szCs w:val="28"/>
        </w:rPr>
      </w:pPr>
      <w:r>
        <w:rPr>
          <w:rFonts w:hint="eastAsia" w:ascii="宋体" w:hAnsi="宋体"/>
          <w:sz w:val="28"/>
          <w:szCs w:val="28"/>
        </w:rPr>
        <w:t>活动结束一周内，需提供</w:t>
      </w:r>
      <w:r>
        <w:rPr>
          <w:rFonts w:hint="eastAsia" w:ascii="宋体" w:hAnsi="宋体"/>
          <w:sz w:val="28"/>
          <w:szCs w:val="28"/>
          <w:u w:val="single"/>
        </w:rPr>
        <w:t>验收申请书、结果公示、结果通报文件、活动总结、活动现场原图及相关新闻稿（缺一不可）（</w:t>
      </w:r>
      <w:r>
        <w:rPr>
          <w:rFonts w:hint="eastAsia" w:ascii="仿宋" w:hAnsi="仿宋" w:eastAsia="仿宋" w:cs="仿宋"/>
          <w:sz w:val="28"/>
          <w:szCs w:val="28"/>
        </w:rPr>
        <w:t>需提交5-8张活动原图（图片成像清晰并附文字说明，原图以JPG格式，照片尺寸为1280*960像素以上），</w:t>
      </w:r>
      <w:r>
        <w:rPr>
          <w:rFonts w:hint="eastAsia" w:ascii="宋体" w:hAnsi="宋体"/>
          <w:sz w:val="28"/>
          <w:szCs w:val="28"/>
        </w:rPr>
        <w:t>电子档同步打包发至项目部邮箱，文件命名需注明“XX社团社团文化节材料”。方可验收。</w:t>
      </w:r>
    </w:p>
    <w:p>
      <w:pPr>
        <w:numPr>
          <w:ilvl w:val="0"/>
          <w:numId w:val="1"/>
        </w:numPr>
        <w:ind w:firstLine="560" w:firstLineChars="200"/>
        <w:rPr>
          <w:rFonts w:ascii="宋体" w:hAnsi="宋体"/>
          <w:sz w:val="28"/>
          <w:szCs w:val="28"/>
        </w:rPr>
      </w:pPr>
      <w:r>
        <w:rPr>
          <w:rFonts w:hint="eastAsia" w:ascii="宋体" w:hAnsi="宋体"/>
          <w:sz w:val="28"/>
          <w:szCs w:val="28"/>
        </w:rPr>
        <w:t>财务报账</w:t>
      </w:r>
    </w:p>
    <w:p>
      <w:pPr>
        <w:spacing w:line="480" w:lineRule="exact"/>
        <w:ind w:firstLine="560" w:firstLineChars="200"/>
        <w:rPr>
          <w:rFonts w:ascii="宋体" w:hAnsi="宋体"/>
          <w:sz w:val="28"/>
          <w:szCs w:val="28"/>
        </w:rPr>
      </w:pPr>
      <w:r>
        <w:rPr>
          <w:rFonts w:hint="eastAsia" w:ascii="宋体" w:hAnsi="宋体"/>
          <w:sz w:val="28"/>
          <w:szCs w:val="28"/>
        </w:rPr>
        <w:t>在活动结束后凡</w:t>
      </w:r>
      <w:r>
        <w:rPr>
          <w:rFonts w:hint="eastAsia" w:ascii="宋体" w:hAnsi="宋体"/>
          <w:sz w:val="28"/>
          <w:szCs w:val="28"/>
          <w:u w:val="single"/>
        </w:rPr>
        <w:t>验收通过的项目</w:t>
      </w:r>
      <w:r>
        <w:rPr>
          <w:rFonts w:hint="eastAsia" w:ascii="宋体" w:hAnsi="宋体"/>
          <w:sz w:val="28"/>
          <w:szCs w:val="28"/>
        </w:rPr>
        <w:t>可及时报账。所有项目经费专款专用，报账需按学校财务要求</w:t>
      </w:r>
      <w:r>
        <w:rPr>
          <w:rFonts w:hint="eastAsia" w:ascii="仿宋_GB2312" w:hAnsi="仿宋_GB2312" w:eastAsia="仿宋_GB2312" w:cs="仿宋_GB2312"/>
          <w:sz w:val="28"/>
          <w:szCs w:val="28"/>
        </w:rPr>
        <w:t>，</w:t>
      </w:r>
      <w:r>
        <w:rPr>
          <w:rFonts w:hint="eastAsia" w:ascii="宋体" w:hAnsi="宋体"/>
          <w:sz w:val="28"/>
          <w:szCs w:val="28"/>
        </w:rPr>
        <w:t>提供正式发票和相关报账依据（详见附件）。</w:t>
      </w:r>
    </w:p>
    <w:p>
      <w:pPr>
        <w:ind w:firstLine="560" w:firstLineChars="200"/>
        <w:rPr>
          <w:rFonts w:ascii="宋体" w:hAnsi="宋体"/>
          <w:sz w:val="28"/>
          <w:szCs w:val="28"/>
        </w:rPr>
      </w:pPr>
      <w:r>
        <w:rPr>
          <w:rFonts w:hint="eastAsia" w:ascii="宋体" w:hAnsi="宋体"/>
          <w:sz w:val="28"/>
          <w:szCs w:val="28"/>
        </w:rPr>
        <w:t>希望立项单位按照学校相关制度文件规定，做好项目管理，认真组织落实项目实施，并按项目要求按时结项验收。</w:t>
      </w:r>
    </w:p>
    <w:p>
      <w:pPr>
        <w:ind w:firstLine="560" w:firstLineChars="200"/>
        <w:rPr>
          <w:rFonts w:ascii="宋体" w:hAnsi="宋体"/>
          <w:sz w:val="28"/>
          <w:szCs w:val="28"/>
        </w:rPr>
      </w:pPr>
      <w:r>
        <w:rPr>
          <w:rFonts w:hint="eastAsia" w:ascii="宋体" w:hAnsi="宋体"/>
          <w:sz w:val="28"/>
          <w:szCs w:val="28"/>
        </w:rPr>
        <w:t>活动审批时间：每周二、周四下午</w:t>
      </w:r>
    </w:p>
    <w:p>
      <w:pPr>
        <w:ind w:firstLine="560" w:firstLineChars="200"/>
        <w:rPr>
          <w:rFonts w:ascii="宋体" w:hAnsi="宋体"/>
          <w:sz w:val="28"/>
          <w:szCs w:val="28"/>
        </w:rPr>
      </w:pPr>
      <w:r>
        <w:rPr>
          <w:rFonts w:hint="eastAsia" w:ascii="宋体" w:hAnsi="宋体"/>
          <w:sz w:val="28"/>
          <w:szCs w:val="28"/>
        </w:rPr>
        <w:t>审批地点：七里坪校区二号办公楼215室</w:t>
      </w:r>
    </w:p>
    <w:p>
      <w:pPr>
        <w:ind w:firstLine="560" w:firstLineChars="200"/>
        <w:rPr>
          <w:rFonts w:ascii="宋体" w:hAnsi="宋体"/>
          <w:sz w:val="28"/>
          <w:szCs w:val="28"/>
        </w:rPr>
      </w:pPr>
      <w:r>
        <w:rPr>
          <w:rFonts w:hint="eastAsia" w:ascii="宋体" w:hAnsi="宋体"/>
          <w:sz w:val="28"/>
          <w:szCs w:val="28"/>
        </w:rPr>
        <w:t>联系人：校学社联项目部副部长刘艳玲，联系QQ号为:1982930593,电话15672234106。（请在非上课时间段联系）</w:t>
      </w:r>
    </w:p>
    <w:p>
      <w:pPr>
        <w:ind w:firstLine="560" w:firstLineChars="200"/>
        <w:rPr>
          <w:rFonts w:ascii="宋体" w:hAnsi="宋体"/>
          <w:sz w:val="28"/>
          <w:szCs w:val="28"/>
        </w:rPr>
      </w:pPr>
      <w:r>
        <w:rPr>
          <w:rFonts w:hint="eastAsia" w:ascii="宋体" w:hAnsi="宋体"/>
          <w:sz w:val="28"/>
          <w:szCs w:val="28"/>
        </w:rPr>
        <w:t>电子档材料报送邮箱</w:t>
      </w:r>
      <w:r>
        <w:rPr>
          <w:rFonts w:hint="eastAsia" w:ascii="仿宋" w:hAnsi="仿宋" w:eastAsia="仿宋" w:cs="仿宋"/>
          <w:sz w:val="28"/>
          <w:szCs w:val="28"/>
        </w:rPr>
        <w:t>：</w:t>
      </w:r>
      <w:r>
        <w:fldChar w:fldCharType="begin"/>
      </w:r>
      <w:r>
        <w:instrText xml:space="preserve"> HYPERLINK "mailto:sysuzhituozhan@163.com" </w:instrText>
      </w:r>
      <w:r>
        <w:fldChar w:fldCharType="separate"/>
      </w:r>
      <w:r>
        <w:rPr>
          <w:rStyle w:val="5"/>
          <w:rFonts w:hint="eastAsia" w:ascii="仿宋" w:hAnsi="仿宋" w:eastAsia="仿宋" w:cs="仿宋"/>
          <w:b/>
          <w:bCs/>
          <w:color w:val="000000"/>
          <w:sz w:val="28"/>
          <w:szCs w:val="28"/>
        </w:rPr>
        <w:t>syxyxslchzx@163.com</w:t>
      </w:r>
      <w:r>
        <w:fldChar w:fldCharType="end"/>
      </w:r>
    </w:p>
    <w:p>
      <w:pPr>
        <w:ind w:firstLine="560" w:firstLineChars="200"/>
        <w:rPr>
          <w:rFonts w:ascii="宋体" w:hAnsi="宋体"/>
          <w:sz w:val="28"/>
          <w:szCs w:val="28"/>
        </w:rPr>
      </w:pPr>
    </w:p>
    <w:p>
      <w:pPr>
        <w:ind w:firstLine="560" w:firstLineChars="200"/>
        <w:rPr>
          <w:rFonts w:ascii="宋体" w:hAnsi="宋体"/>
          <w:sz w:val="28"/>
          <w:szCs w:val="28"/>
        </w:rPr>
      </w:pPr>
      <w:r>
        <w:rPr>
          <w:rFonts w:hint="eastAsia" w:ascii="宋体" w:hAnsi="宋体"/>
          <w:sz w:val="28"/>
          <w:szCs w:val="28"/>
        </w:rPr>
        <w:t>附件1：相关文件格式要求</w:t>
      </w:r>
    </w:p>
    <w:p>
      <w:pPr>
        <w:ind w:firstLine="560" w:firstLineChars="200"/>
        <w:rPr>
          <w:rFonts w:ascii="宋体" w:hAnsi="宋体"/>
          <w:sz w:val="28"/>
          <w:szCs w:val="28"/>
        </w:rPr>
      </w:pPr>
      <w:r>
        <w:rPr>
          <w:rFonts w:hint="eastAsia" w:ascii="宋体" w:hAnsi="宋体"/>
          <w:sz w:val="28"/>
          <w:szCs w:val="28"/>
        </w:rPr>
        <w:t>附件2：经费预算及报账流程</w:t>
      </w:r>
    </w:p>
    <w:p>
      <w:pPr>
        <w:ind w:firstLine="560" w:firstLineChars="200"/>
        <w:rPr>
          <w:rFonts w:ascii="宋体" w:hAnsi="宋体"/>
          <w:sz w:val="28"/>
          <w:szCs w:val="28"/>
        </w:rPr>
      </w:pPr>
    </w:p>
    <w:p>
      <w:pPr>
        <w:rPr>
          <w:rFonts w:ascii="宋体" w:hAnsi="宋体"/>
          <w:sz w:val="28"/>
          <w:szCs w:val="28"/>
        </w:rPr>
      </w:pPr>
    </w:p>
    <w:p>
      <w:pPr>
        <w:jc w:val="right"/>
        <w:rPr>
          <w:rFonts w:ascii="宋体" w:hAnsi="宋体"/>
          <w:sz w:val="28"/>
          <w:szCs w:val="28"/>
        </w:rPr>
      </w:pPr>
      <w:r>
        <w:rPr>
          <w:rFonts w:hint="eastAsia" w:ascii="宋体" w:hAnsi="宋体"/>
          <w:sz w:val="28"/>
          <w:szCs w:val="28"/>
        </w:rPr>
        <w:t xml:space="preserve">  邵阳学院学生社团联合会</w:t>
      </w:r>
    </w:p>
    <w:p>
      <w:pPr>
        <w:jc w:val="right"/>
        <w:rPr>
          <w:rFonts w:ascii="宋体" w:hAnsi="宋体"/>
          <w:sz w:val="28"/>
          <w:szCs w:val="28"/>
        </w:rPr>
      </w:pPr>
      <w:r>
        <w:rPr>
          <w:rFonts w:hint="eastAsia" w:ascii="宋体" w:hAnsi="宋体"/>
          <w:sz w:val="28"/>
          <w:szCs w:val="28"/>
        </w:rPr>
        <w:t>2019年5月6日</w:t>
      </w:r>
    </w:p>
    <w:p/>
    <w:p/>
    <w:p/>
    <w:p/>
    <w:p/>
    <w:p/>
    <w:p>
      <w:pPr>
        <w:rPr>
          <w:rFonts w:ascii="宋体" w:hAnsi="宋体"/>
          <w:sz w:val="28"/>
          <w:szCs w:val="28"/>
        </w:rPr>
      </w:pPr>
      <w:r>
        <w:rPr>
          <w:rFonts w:hint="eastAsia" w:ascii="宋体" w:hAnsi="宋体"/>
          <w:sz w:val="28"/>
          <w:szCs w:val="28"/>
        </w:rPr>
        <w:t>附件1：</w:t>
      </w:r>
    </w:p>
    <w:p>
      <w:pPr>
        <w:jc w:val="center"/>
        <w:rPr>
          <w:rFonts w:ascii="黑体" w:hAnsi="黑体" w:eastAsia="黑体" w:cs="黑体"/>
          <w:b/>
          <w:bCs/>
          <w:sz w:val="32"/>
          <w:szCs w:val="32"/>
        </w:rPr>
      </w:pPr>
      <w:r>
        <w:rPr>
          <w:rFonts w:hint="eastAsia" w:ascii="黑体" w:hAnsi="黑体" w:eastAsia="黑体" w:cs="黑体"/>
          <w:b/>
          <w:bCs/>
          <w:sz w:val="32"/>
          <w:szCs w:val="32"/>
        </w:rPr>
        <w:t>相关文件格式要求</w:t>
      </w:r>
    </w:p>
    <w:p>
      <w:pPr>
        <w:spacing w:line="480" w:lineRule="exact"/>
        <w:ind w:firstLine="562" w:firstLineChars="200"/>
        <w:jc w:val="center"/>
        <w:rPr>
          <w:rFonts w:ascii="仿宋" w:hAnsi="仿宋" w:eastAsia="仿宋" w:cs="仿宋"/>
          <w:sz w:val="28"/>
          <w:szCs w:val="28"/>
        </w:rPr>
      </w:pPr>
      <w:r>
        <w:rPr>
          <w:rFonts w:hint="eastAsia" w:ascii="仿宋" w:hAnsi="仿宋" w:eastAsia="仿宋" w:cs="仿宋"/>
          <w:b/>
          <w:bCs/>
          <w:sz w:val="28"/>
          <w:szCs w:val="28"/>
        </w:rPr>
        <w:t>（</w:t>
      </w:r>
      <w:r>
        <w:rPr>
          <w:rFonts w:hint="eastAsia" w:ascii="仿宋" w:hAnsi="仿宋" w:eastAsia="仿宋" w:cs="仿宋"/>
          <w:sz w:val="28"/>
          <w:szCs w:val="28"/>
        </w:rPr>
        <w:t>文稿材料全部以Word文本格式提交</w:t>
      </w:r>
      <w:r>
        <w:rPr>
          <w:rFonts w:hint="eastAsia" w:ascii="仿宋" w:hAnsi="仿宋" w:eastAsia="仿宋" w:cs="仿宋"/>
          <w:b/>
          <w:bCs/>
          <w:sz w:val="28"/>
          <w:szCs w:val="28"/>
        </w:rPr>
        <w:t>）</w:t>
      </w:r>
    </w:p>
    <w:p>
      <w:pPr>
        <w:spacing w:before="156" w:beforeLines="50" w:after="156" w:afterLines="50" w:line="480" w:lineRule="exact"/>
        <w:ind w:firstLine="562" w:firstLineChars="200"/>
        <w:jc w:val="left"/>
        <w:rPr>
          <w:rFonts w:ascii="仿宋" w:hAnsi="仿宋" w:eastAsia="仿宋" w:cs="仿宋"/>
          <w:b/>
          <w:sz w:val="28"/>
          <w:szCs w:val="28"/>
        </w:rPr>
      </w:pPr>
      <w:r>
        <w:rPr>
          <w:rFonts w:hint="eastAsia" w:ascii="仿宋" w:hAnsi="仿宋" w:eastAsia="仿宋" w:cs="仿宋"/>
          <w:b/>
          <w:sz w:val="28"/>
          <w:szCs w:val="28"/>
        </w:rPr>
        <w:t>(一)纸张要求和页面设置</w:t>
      </w:r>
    </w:p>
    <w:tbl>
      <w:tblPr>
        <w:tblStyle w:val="3"/>
        <w:tblW w:w="9112" w:type="dxa"/>
        <w:tblInd w:w="0" w:type="dxa"/>
        <w:tblLayout w:type="fixed"/>
        <w:tblCellMar>
          <w:top w:w="0" w:type="dxa"/>
          <w:left w:w="108" w:type="dxa"/>
          <w:bottom w:w="0" w:type="dxa"/>
          <w:right w:w="108" w:type="dxa"/>
        </w:tblCellMar>
      </w:tblPr>
      <w:tblGrid>
        <w:gridCol w:w="1410"/>
        <w:gridCol w:w="7702"/>
      </w:tblGrid>
      <w:tr>
        <w:tblPrEx>
          <w:tblLayout w:type="fixed"/>
        </w:tblPrEx>
        <w:trPr>
          <w:trHeight w:val="311" w:hRule="atLeast"/>
        </w:trPr>
        <w:tc>
          <w:tcPr>
            <w:tcW w:w="1410" w:type="dxa"/>
            <w:tcBorders>
              <w:top w:val="single" w:color="auto" w:sz="4" w:space="0"/>
              <w:left w:val="nil"/>
              <w:bottom w:val="single" w:color="auto" w:sz="4" w:space="0"/>
              <w:right w:val="nil"/>
            </w:tcBorders>
            <w:vAlign w:val="center"/>
          </w:tcPr>
          <w:p>
            <w:pPr>
              <w:widowControl/>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项  目</w:t>
            </w:r>
          </w:p>
        </w:tc>
        <w:tc>
          <w:tcPr>
            <w:tcW w:w="7702" w:type="dxa"/>
            <w:tcBorders>
              <w:top w:val="single" w:color="auto" w:sz="4" w:space="0"/>
              <w:left w:val="nil"/>
              <w:bottom w:val="single" w:color="auto" w:sz="4" w:space="0"/>
              <w:right w:val="nil"/>
            </w:tcBorders>
            <w:vAlign w:val="center"/>
          </w:tcPr>
          <w:p>
            <w:pPr>
              <w:widowControl/>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要     求</w:t>
            </w:r>
          </w:p>
        </w:tc>
      </w:tr>
      <w:tr>
        <w:tblPrEx>
          <w:tblLayout w:type="fixed"/>
        </w:tblPrEx>
        <w:trPr>
          <w:trHeight w:val="311" w:hRule="atLeast"/>
        </w:trPr>
        <w:tc>
          <w:tcPr>
            <w:tcW w:w="1410" w:type="dxa"/>
            <w:tcBorders>
              <w:top w:val="nil"/>
              <w:left w:val="nil"/>
              <w:bottom w:val="nil"/>
              <w:right w:val="nil"/>
            </w:tcBorders>
            <w:vAlign w:val="center"/>
          </w:tcPr>
          <w:p>
            <w:pPr>
              <w:widowControl/>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纸张</w:t>
            </w:r>
          </w:p>
        </w:tc>
        <w:tc>
          <w:tcPr>
            <w:tcW w:w="7702" w:type="dxa"/>
            <w:tcBorders>
              <w:top w:val="nil"/>
              <w:left w:val="nil"/>
              <w:bottom w:val="nil"/>
              <w:right w:val="nil"/>
            </w:tcBorders>
            <w:vAlign w:val="center"/>
          </w:tcPr>
          <w:p>
            <w:pPr>
              <w:widowControl/>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A4（2.1×2.97），幅面白色</w:t>
            </w:r>
          </w:p>
        </w:tc>
      </w:tr>
      <w:tr>
        <w:tblPrEx>
          <w:tblLayout w:type="fixed"/>
        </w:tblPrEx>
        <w:trPr>
          <w:trHeight w:val="311" w:hRule="atLeast"/>
        </w:trPr>
        <w:tc>
          <w:tcPr>
            <w:tcW w:w="1410" w:type="dxa"/>
            <w:tcBorders>
              <w:top w:val="nil"/>
              <w:left w:val="nil"/>
              <w:bottom w:val="nil"/>
              <w:right w:val="nil"/>
            </w:tcBorders>
            <w:vAlign w:val="center"/>
          </w:tcPr>
          <w:p>
            <w:pPr>
              <w:widowControl/>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页面设置</w:t>
            </w:r>
          </w:p>
        </w:tc>
        <w:tc>
          <w:tcPr>
            <w:tcW w:w="7702" w:type="dxa"/>
            <w:tcBorders>
              <w:top w:val="nil"/>
              <w:left w:val="nil"/>
              <w:bottom w:val="nil"/>
              <w:right w:val="nil"/>
            </w:tcBorders>
            <w:vAlign w:val="center"/>
          </w:tcPr>
          <w:p>
            <w:pPr>
              <w:widowControl/>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上、下、左、右页边距各2.5cm，无网格</w:t>
            </w:r>
          </w:p>
        </w:tc>
      </w:tr>
      <w:tr>
        <w:tblPrEx>
          <w:tblLayout w:type="fixed"/>
          <w:tblCellMar>
            <w:top w:w="0" w:type="dxa"/>
            <w:left w:w="108" w:type="dxa"/>
            <w:bottom w:w="0" w:type="dxa"/>
            <w:right w:w="108" w:type="dxa"/>
          </w:tblCellMar>
        </w:tblPrEx>
        <w:trPr>
          <w:trHeight w:val="311" w:hRule="atLeast"/>
        </w:trPr>
        <w:tc>
          <w:tcPr>
            <w:tcW w:w="1410" w:type="dxa"/>
            <w:tcBorders>
              <w:top w:val="nil"/>
              <w:left w:val="nil"/>
              <w:bottom w:val="single" w:color="auto" w:sz="4" w:space="0"/>
              <w:right w:val="nil"/>
            </w:tcBorders>
            <w:vAlign w:val="center"/>
          </w:tcPr>
          <w:p>
            <w:pPr>
              <w:widowControl/>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页码</w:t>
            </w:r>
          </w:p>
        </w:tc>
        <w:tc>
          <w:tcPr>
            <w:tcW w:w="7702" w:type="dxa"/>
            <w:tcBorders>
              <w:top w:val="nil"/>
              <w:left w:val="nil"/>
              <w:bottom w:val="single" w:color="auto" w:sz="4" w:space="0"/>
              <w:right w:val="nil"/>
            </w:tcBorders>
            <w:vAlign w:val="center"/>
          </w:tcPr>
          <w:p>
            <w:pPr>
              <w:widowControl/>
              <w:spacing w:line="480" w:lineRule="exact"/>
              <w:jc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页面下脚，居中</w:t>
            </w:r>
          </w:p>
        </w:tc>
      </w:tr>
    </w:tbl>
    <w:p>
      <w:pPr>
        <w:numPr>
          <w:ilvl w:val="0"/>
          <w:numId w:val="3"/>
        </w:numPr>
        <w:spacing w:before="156" w:beforeLines="50" w:after="156" w:afterLines="50" w:line="480" w:lineRule="exact"/>
        <w:ind w:firstLine="562" w:firstLineChars="200"/>
        <w:jc w:val="left"/>
        <w:rPr>
          <w:rFonts w:ascii="仿宋" w:hAnsi="仿宋" w:eastAsia="仿宋" w:cs="仿宋"/>
          <w:b/>
          <w:sz w:val="28"/>
          <w:szCs w:val="28"/>
        </w:rPr>
      </w:pPr>
      <w:r>
        <w:rPr>
          <w:rFonts w:hint="eastAsia" w:ascii="仿宋" w:hAnsi="仿宋" w:eastAsia="仿宋" w:cs="仿宋"/>
          <w:b/>
          <w:sz w:val="28"/>
          <w:szCs w:val="28"/>
        </w:rPr>
        <w:t>正文</w:t>
      </w:r>
    </w:p>
    <w:p>
      <w:pPr>
        <w:spacing w:line="480" w:lineRule="exact"/>
        <w:ind w:firstLine="562" w:firstLineChars="200"/>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段落文字：</w:t>
      </w:r>
      <w:r>
        <w:rPr>
          <w:rFonts w:hint="eastAsia" w:ascii="仿宋" w:hAnsi="仿宋" w:eastAsia="仿宋" w:cs="仿宋"/>
          <w:color w:val="000000"/>
          <w:kern w:val="0"/>
          <w:sz w:val="28"/>
          <w:szCs w:val="28"/>
        </w:rPr>
        <w:t>4号仿宋，两端对齐书写，段落首行左缩进2个汉字符，24磅行间距。</w:t>
      </w:r>
    </w:p>
    <w:p>
      <w:pPr>
        <w:widowControl/>
        <w:tabs>
          <w:tab w:val="left" w:pos="709"/>
        </w:tabs>
        <w:spacing w:line="480" w:lineRule="exact"/>
        <w:ind w:right="94" w:rightChars="45" w:firstLine="562" w:firstLineChars="200"/>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1、文稿标题：</w:t>
      </w:r>
      <w:r>
        <w:rPr>
          <w:rFonts w:hint="eastAsia" w:ascii="仿宋" w:hAnsi="仿宋" w:eastAsia="仿宋" w:cs="仿宋"/>
          <w:color w:val="000000"/>
          <w:kern w:val="0"/>
          <w:sz w:val="28"/>
          <w:szCs w:val="28"/>
        </w:rPr>
        <w:t>2号黑体，居中</w:t>
      </w:r>
    </w:p>
    <w:p>
      <w:pPr>
        <w:widowControl/>
        <w:tabs>
          <w:tab w:val="left" w:pos="709"/>
        </w:tabs>
        <w:spacing w:line="480" w:lineRule="exact"/>
        <w:ind w:right="94" w:rightChars="45" w:firstLine="562" w:firstLineChars="200"/>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2、一级标题：</w:t>
      </w:r>
      <w:r>
        <w:rPr>
          <w:rFonts w:hint="eastAsia" w:ascii="仿宋" w:hAnsi="仿宋" w:eastAsia="仿宋" w:cs="仿宋"/>
          <w:color w:val="000000"/>
          <w:kern w:val="0"/>
          <w:sz w:val="28"/>
          <w:szCs w:val="28"/>
        </w:rPr>
        <w:t>4号黑体，用“一、”“二、”“三、”标识</w:t>
      </w:r>
    </w:p>
    <w:p>
      <w:pPr>
        <w:widowControl/>
        <w:tabs>
          <w:tab w:val="left" w:pos="709"/>
        </w:tabs>
        <w:spacing w:line="480" w:lineRule="exact"/>
        <w:ind w:right="94" w:rightChars="45" w:firstLine="562" w:firstLineChars="200"/>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3、二级标题：</w:t>
      </w:r>
      <w:r>
        <w:rPr>
          <w:rFonts w:hint="eastAsia" w:ascii="仿宋" w:hAnsi="仿宋" w:eastAsia="仿宋" w:cs="仿宋"/>
          <w:color w:val="000000"/>
          <w:kern w:val="0"/>
          <w:sz w:val="28"/>
          <w:szCs w:val="28"/>
        </w:rPr>
        <w:t>4号仿宋，加粗，用“（一）”“（二）”“（三）”标识</w:t>
      </w:r>
    </w:p>
    <w:p>
      <w:pPr>
        <w:spacing w:line="480" w:lineRule="exact"/>
        <w:ind w:firstLine="140" w:firstLineChars="50"/>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w:t>
      </w:r>
      <w:r>
        <w:rPr>
          <w:rFonts w:hint="eastAsia" w:ascii="仿宋" w:hAnsi="仿宋" w:eastAsia="仿宋" w:cs="仿宋"/>
          <w:b/>
          <w:bCs/>
          <w:color w:val="000000"/>
          <w:kern w:val="0"/>
          <w:sz w:val="28"/>
          <w:szCs w:val="28"/>
        </w:rPr>
        <w:t xml:space="preserve">  4、三级标题：</w:t>
      </w:r>
      <w:r>
        <w:rPr>
          <w:rFonts w:hint="eastAsia" w:ascii="仿宋" w:hAnsi="仿宋" w:eastAsia="仿宋" w:cs="仿宋"/>
          <w:color w:val="000000"/>
          <w:kern w:val="0"/>
          <w:sz w:val="28"/>
          <w:szCs w:val="28"/>
        </w:rPr>
        <w:t>4号楷体，用“1.”“2.”“3.”标识</w:t>
      </w:r>
    </w:p>
    <w:p>
      <w:pPr>
        <w:spacing w:line="480" w:lineRule="exact"/>
        <w:ind w:firstLine="562" w:firstLineChars="200"/>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5、四级标题：</w:t>
      </w:r>
      <w:r>
        <w:rPr>
          <w:rFonts w:hint="eastAsia" w:ascii="仿宋" w:hAnsi="仿宋" w:eastAsia="仿宋" w:cs="仿宋"/>
          <w:color w:val="000000"/>
          <w:kern w:val="0"/>
          <w:sz w:val="28"/>
          <w:szCs w:val="28"/>
        </w:rPr>
        <w:t>4号仿宋，用“（1）”“（2）”“（3）”标识</w:t>
      </w:r>
    </w:p>
    <w:p>
      <w:pPr>
        <w:spacing w:line="480" w:lineRule="exact"/>
        <w:ind w:firstLine="562" w:firstLineChars="200"/>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6、表格：</w:t>
      </w:r>
      <w:r>
        <w:rPr>
          <w:rFonts w:hint="eastAsia" w:ascii="仿宋" w:hAnsi="仿宋" w:eastAsia="仿宋" w:cs="仿宋"/>
          <w:color w:val="000000"/>
          <w:kern w:val="0"/>
          <w:sz w:val="28"/>
          <w:szCs w:val="28"/>
        </w:rPr>
        <w:t>单倍行距;表名置于表的上方，3号黑体，居中；表格内文字为宋体，字体大小可根据表的内容自行调整。</w:t>
      </w:r>
    </w:p>
    <w:p>
      <w:pPr>
        <w:spacing w:line="480" w:lineRule="exact"/>
        <w:ind w:firstLine="562" w:firstLineChars="200"/>
        <w:rPr>
          <w:rFonts w:ascii="仿宋" w:hAnsi="仿宋" w:eastAsia="仿宋" w:cs="仿宋"/>
          <w:color w:val="000000"/>
          <w:kern w:val="0"/>
          <w:sz w:val="28"/>
          <w:szCs w:val="28"/>
        </w:rPr>
      </w:pPr>
      <w:r>
        <w:rPr>
          <w:rFonts w:hint="eastAsia" w:ascii="仿宋" w:hAnsi="仿宋" w:eastAsia="仿宋" w:cs="仿宋"/>
          <w:b/>
          <w:bCs/>
          <w:color w:val="000000"/>
          <w:kern w:val="0"/>
          <w:sz w:val="28"/>
          <w:szCs w:val="28"/>
        </w:rPr>
        <w:t>7、图：</w:t>
      </w:r>
      <w:r>
        <w:rPr>
          <w:rFonts w:hint="eastAsia" w:ascii="仿宋" w:hAnsi="仿宋" w:eastAsia="仿宋" w:cs="仿宋"/>
          <w:color w:val="000000"/>
          <w:kern w:val="0"/>
          <w:sz w:val="28"/>
          <w:szCs w:val="28"/>
        </w:rPr>
        <w:t>图名（图注）置于图的下方，5号宋体，居中，单倍行距。</w:t>
      </w:r>
    </w:p>
    <w:p/>
    <w:p/>
    <w:p/>
    <w:p/>
    <w:p/>
    <w:p/>
    <w:p/>
    <w:p/>
    <w:p/>
    <w:p>
      <w:pPr>
        <w:jc w:val="left"/>
        <w:rPr>
          <w:rFonts w:hint="eastAsia" w:ascii="宋体" w:hAnsi="宋体"/>
          <w:sz w:val="24"/>
        </w:rPr>
      </w:pPr>
      <w:r>
        <w:rPr>
          <w:rFonts w:hint="eastAsia" w:ascii="宋体" w:hAnsi="宋体"/>
          <w:sz w:val="24"/>
        </w:rPr>
        <w:t>附件2：</w:t>
      </w:r>
    </w:p>
    <w:p>
      <w:pPr>
        <w:jc w:val="center"/>
        <w:rPr>
          <w:rFonts w:ascii="仿宋" w:hAnsi="仿宋" w:eastAsia="仿宋" w:cs="仿宋"/>
          <w:b/>
          <w:bCs/>
          <w:sz w:val="28"/>
          <w:szCs w:val="28"/>
        </w:rPr>
      </w:pPr>
      <w:r>
        <w:rPr>
          <w:rFonts w:hint="eastAsia" w:ascii="仿宋" w:hAnsi="仿宋" w:eastAsia="仿宋" w:cs="仿宋"/>
          <w:b/>
          <w:bCs/>
          <w:sz w:val="28"/>
          <w:szCs w:val="28"/>
        </w:rPr>
        <w:t>经费预算说明</w:t>
      </w:r>
    </w:p>
    <w:p>
      <w:pPr>
        <w:widowControl/>
        <w:ind w:firstLine="560" w:firstLineChars="200"/>
        <w:jc w:val="left"/>
        <w:rPr>
          <w:rFonts w:hint="eastAsia" w:ascii="仿宋" w:hAnsi="仿宋" w:eastAsia="仿宋"/>
          <w:kern w:val="0"/>
          <w:sz w:val="28"/>
          <w:szCs w:val="28"/>
        </w:rPr>
      </w:pPr>
      <w:r>
        <w:rPr>
          <w:rFonts w:hint="eastAsia" w:ascii="仿宋" w:hAnsi="仿宋" w:eastAsia="仿宋"/>
          <w:kern w:val="0"/>
          <w:sz w:val="28"/>
          <w:szCs w:val="28"/>
        </w:rPr>
        <w:t>学生社团需在立项活动展开之前对各项支出进行精确预算，并将《邵阳学院学生社团经费预算表》交社团指导老师审批，审批通过后将经费预算表连同</w:t>
      </w:r>
      <w:r>
        <w:rPr>
          <w:rFonts w:hint="eastAsia" w:ascii="仿宋" w:hAnsi="仿宋" w:eastAsia="仿宋"/>
          <w:sz w:val="28"/>
          <w:szCs w:val="28"/>
        </w:rPr>
        <w:t>活动的通知文件和《邵阳学院学生社团活动申请表》交至团委审批（见第一条）。</w:t>
      </w:r>
      <w:r>
        <w:rPr>
          <w:rFonts w:hint="eastAsia" w:ascii="仿宋" w:hAnsi="仿宋" w:eastAsia="仿宋"/>
          <w:kern w:val="0"/>
          <w:sz w:val="28"/>
          <w:szCs w:val="28"/>
        </w:rPr>
        <w:t>各社团预算应以拟立项金额为参考，立项经费应合理利用，诸如零食饮料购买等纯娱乐性产品不得纳入预算</w:t>
      </w:r>
      <w:r>
        <w:rPr>
          <w:rFonts w:hint="eastAsia" w:ascii="仿宋" w:hAnsi="仿宋" w:eastAsia="仿宋"/>
          <w:kern w:val="0"/>
          <w:sz w:val="28"/>
          <w:szCs w:val="28"/>
          <w:lang w:eastAsia="zh-CN"/>
        </w:rPr>
        <w:t>。</w:t>
      </w:r>
      <w:r>
        <w:rPr>
          <w:rFonts w:hint="eastAsia" w:ascii="仿宋" w:hAnsi="仿宋" w:eastAsia="仿宋"/>
          <w:kern w:val="0"/>
          <w:sz w:val="28"/>
          <w:szCs w:val="28"/>
        </w:rPr>
        <w:t>凡不在预算范围内的开支，不予报账，同时，经费预算也将作为报账的重要依据。</w:t>
      </w:r>
    </w:p>
    <w:p>
      <w:pPr>
        <w:jc w:val="left"/>
        <w:rPr>
          <w:rFonts w:ascii="宋体" w:hAnsi="宋体"/>
          <w:sz w:val="24"/>
        </w:rPr>
      </w:pPr>
    </w:p>
    <w:p>
      <w:pPr>
        <w:jc w:val="center"/>
        <w:rPr>
          <w:rFonts w:ascii="仿宋" w:hAnsi="仿宋" w:eastAsia="仿宋" w:cs="仿宋"/>
          <w:b/>
          <w:bCs/>
          <w:sz w:val="28"/>
          <w:szCs w:val="28"/>
        </w:rPr>
      </w:pPr>
      <w:r>
        <w:rPr>
          <w:rFonts w:hint="eastAsia" w:ascii="仿宋" w:hAnsi="仿宋" w:eastAsia="仿宋" w:cs="仿宋"/>
          <w:b/>
          <w:bCs/>
          <w:sz w:val="28"/>
          <w:szCs w:val="28"/>
        </w:rPr>
        <w:t>经费报账说明</w:t>
      </w:r>
    </w:p>
    <w:p>
      <w:pPr>
        <w:numPr>
          <w:ilvl w:val="0"/>
          <w:numId w:val="4"/>
        </w:numPr>
        <w:ind w:firstLine="560" w:firstLineChars="200"/>
        <w:rPr>
          <w:rFonts w:ascii="仿宋" w:hAnsi="仿宋" w:eastAsia="仿宋" w:cs="仿宋"/>
          <w:sz w:val="28"/>
          <w:szCs w:val="28"/>
        </w:rPr>
      </w:pPr>
      <w:r>
        <w:rPr>
          <w:rFonts w:hint="eastAsia" w:ascii="仿宋" w:hAnsi="仿宋" w:eastAsia="仿宋" w:cs="仿宋"/>
          <w:sz w:val="28"/>
          <w:szCs w:val="28"/>
        </w:rPr>
        <w:t>学生社团须详细填写《邵阳学院经费支付(报账)审批单》（另附）并准备好原始凭证（发票、支付凭证，若发票上未注明具体品名时需提供购物小票或购物明细单），原始凭证上须注明经手人、证明人以及详细用途（发票样式见图1）。所有报账材料经学社联财务部核查通过后交团委黄老师审批。</w:t>
      </w:r>
    </w:p>
    <w:p>
      <w:r>
        <w:fldChar w:fldCharType="begin"/>
      </w:r>
      <w:r>
        <w:instrText xml:space="preserve"> HYPERLINK "http://www2.hnsyu.net/syxycwc/zzgg/201710/P020171011515838843936.pdf详见邵阳学院经费报销指南" </w:instrText>
      </w:r>
      <w:r>
        <w:fldChar w:fldCharType="separate"/>
      </w:r>
      <w:r>
        <w:rPr>
          <w:rStyle w:val="5"/>
          <w:rFonts w:hint="eastAsia" w:ascii="仿宋" w:hAnsi="仿宋" w:eastAsia="仿宋" w:cs="仿宋"/>
          <w:sz w:val="28"/>
          <w:szCs w:val="28"/>
        </w:rPr>
        <w:t>http://www2.hnsyu.net/syxycwc/zzgg/201710/P020171011515838843936.pdf详见邵阳学院经费报销指南</w:t>
      </w:r>
      <w:r>
        <w:fldChar w:fldCharType="end"/>
      </w:r>
    </w:p>
    <w:p>
      <w:pPr>
        <w:numPr>
          <w:ilvl w:val="0"/>
          <w:numId w:val="4"/>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按照学校相关财务要求，</w:t>
      </w:r>
      <w:r>
        <w:rPr>
          <w:rFonts w:hint="eastAsia" w:ascii="仿宋" w:hAnsi="仿宋" w:eastAsia="仿宋" w:cs="仿宋"/>
          <w:sz w:val="28"/>
          <w:szCs w:val="28"/>
          <w:u w:val="single"/>
          <w:lang w:eastAsia="zh-CN"/>
        </w:rPr>
        <w:t>建议尽量在实体店购买相关活动所需用品，</w:t>
      </w:r>
      <w:r>
        <w:rPr>
          <w:rFonts w:hint="eastAsia" w:ascii="仿宋" w:hAnsi="仿宋" w:eastAsia="仿宋" w:cs="仿宋"/>
          <w:sz w:val="28"/>
          <w:szCs w:val="28"/>
          <w:lang w:eastAsia="zh-CN"/>
        </w:rPr>
        <w:t>且尽量避免微信刷卡，用银行卡刷卡最为保险。网购建议在采用京东自营商城、或天猫、支付宝进行购买，不可在淘宝上直接购买，且注意交易凭证上要</w:t>
      </w:r>
      <w:r>
        <w:rPr>
          <w:rFonts w:hint="eastAsia" w:ascii="仿宋" w:hAnsi="仿宋" w:eastAsia="仿宋" w:cs="仿宋"/>
          <w:sz w:val="28"/>
          <w:szCs w:val="28"/>
          <w:u w:val="single"/>
          <w:lang w:eastAsia="zh-CN"/>
        </w:rPr>
        <w:t>清晰看出交易款是打入哪个公司，开具发票公司是否与店家名是否一致</w:t>
      </w:r>
      <w:r>
        <w:rPr>
          <w:rFonts w:hint="eastAsia" w:ascii="仿宋" w:hAnsi="仿宋" w:eastAsia="仿宋" w:cs="仿宋"/>
          <w:sz w:val="28"/>
          <w:szCs w:val="28"/>
          <w:lang w:eastAsia="zh-CN"/>
        </w:rPr>
        <w:t>等问题。</w:t>
      </w:r>
    </w:p>
    <w:p>
      <w:pPr>
        <w:ind w:firstLine="560" w:firstLineChars="200"/>
        <w:rPr>
          <w:rFonts w:ascii="宋体" w:hAnsi="宋体"/>
          <w:color w:val="000000"/>
          <w:kern w:val="0"/>
          <w:sz w:val="28"/>
          <w:szCs w:val="28"/>
        </w:rPr>
      </w:pPr>
      <w:r>
        <w:rPr>
          <w:rFonts w:hint="eastAsia" w:ascii="宋体" w:hAnsi="宋体"/>
          <w:color w:val="000000"/>
          <w:kern w:val="0"/>
          <w:sz w:val="28"/>
          <w:szCs w:val="28"/>
          <w:lang w:val="en-US" w:eastAsia="zh-CN"/>
        </w:rPr>
        <w:t>3</w:t>
      </w:r>
      <w:r>
        <w:rPr>
          <w:rFonts w:hint="eastAsia" w:ascii="宋体" w:hAnsi="宋体"/>
          <w:color w:val="000000"/>
          <w:kern w:val="0"/>
          <w:sz w:val="28"/>
          <w:szCs w:val="28"/>
        </w:rPr>
        <w:t>、</w:t>
      </w:r>
      <w:r>
        <w:rPr>
          <w:rFonts w:hint="eastAsia" w:ascii="仿宋" w:hAnsi="仿宋" w:eastAsia="仿宋" w:cs="仿宋"/>
          <w:sz w:val="28"/>
          <w:szCs w:val="28"/>
        </w:rPr>
        <w:t>开具发票时需提供以下信息：</w:t>
      </w:r>
    </w:p>
    <w:p>
      <w:pPr>
        <w:ind w:firstLine="560" w:firstLineChars="200"/>
        <w:rPr>
          <w:rFonts w:ascii="仿宋" w:hAnsi="仿宋" w:eastAsia="仿宋" w:cs="仿宋"/>
          <w:sz w:val="28"/>
          <w:szCs w:val="28"/>
        </w:rPr>
      </w:pPr>
      <w:r>
        <w:rPr>
          <w:rFonts w:hint="eastAsia" w:ascii="仿宋" w:hAnsi="仿宋" w:eastAsia="仿宋" w:cs="仿宋"/>
          <w:sz w:val="28"/>
          <w:szCs w:val="28"/>
        </w:rPr>
        <w:t>发票抬头：邵阳学院</w:t>
      </w:r>
    </w:p>
    <w:p>
      <w:pPr>
        <w:ind w:firstLine="560" w:firstLineChars="200"/>
        <w:rPr>
          <w:rFonts w:ascii="仿宋" w:hAnsi="仿宋" w:eastAsia="仿宋" w:cs="仿宋"/>
          <w:sz w:val="28"/>
          <w:szCs w:val="28"/>
        </w:rPr>
      </w:pPr>
      <w:r>
        <w:rPr>
          <w:rFonts w:hint="eastAsia" w:ascii="仿宋" w:hAnsi="仿宋" w:eastAsia="仿宋" w:cs="仿宋"/>
          <w:sz w:val="28"/>
          <w:szCs w:val="28"/>
        </w:rPr>
        <w:t>统一社会信用代码：1243 0000 7459 0134 83</w:t>
      </w:r>
    </w:p>
    <w:p>
      <w:pPr>
        <w:ind w:firstLine="560" w:firstLineChars="200"/>
        <w:rPr>
          <w:rFonts w:ascii="仿宋" w:hAnsi="仿宋" w:eastAsia="仿宋" w:cs="仿宋"/>
          <w:sz w:val="28"/>
          <w:szCs w:val="28"/>
        </w:rPr>
      </w:pPr>
      <w:r>
        <w:rPr>
          <w:rFonts w:hint="eastAsia" w:ascii="仿宋" w:hAnsi="仿宋" w:eastAsia="仿宋" w:cs="仿宋"/>
          <w:sz w:val="28"/>
          <w:szCs w:val="28"/>
        </w:rPr>
        <w:t>银行账号：4300 1580 0650 5000 1266</w:t>
      </w:r>
    </w:p>
    <w:p>
      <w:pPr>
        <w:ind w:firstLine="560" w:firstLineChars="200"/>
        <w:rPr>
          <w:rFonts w:ascii="仿宋" w:hAnsi="仿宋" w:eastAsia="仿宋" w:cs="仿宋"/>
          <w:sz w:val="28"/>
          <w:szCs w:val="28"/>
        </w:rPr>
      </w:pPr>
      <w:r>
        <w:rPr>
          <w:rFonts w:hint="eastAsia" w:ascii="仿宋" w:hAnsi="仿宋" w:eastAsia="仿宋" w:cs="仿宋"/>
          <w:sz w:val="28"/>
          <w:szCs w:val="28"/>
        </w:rPr>
        <w:t>开户行：湖南省建行邵阳分行营业部</w:t>
      </w:r>
    </w:p>
    <w:p>
      <w:pPr>
        <w:ind w:firstLine="560" w:firstLineChars="200"/>
        <w:rPr>
          <w:rFonts w:ascii="仿宋" w:hAnsi="仿宋" w:eastAsia="仿宋" w:cs="仿宋"/>
          <w:sz w:val="28"/>
          <w:szCs w:val="28"/>
        </w:rPr>
      </w:pPr>
      <w:r>
        <w:rPr>
          <w:rFonts w:hint="eastAsia" w:ascii="仿宋" w:hAnsi="仿宋" w:eastAsia="仿宋" w:cs="仿宋"/>
          <w:sz w:val="28"/>
          <w:szCs w:val="28"/>
        </w:rPr>
        <w:t>地址：邵阳市大祥区学院路</w:t>
      </w:r>
    </w:p>
    <w:p>
      <w:pPr>
        <w:ind w:firstLine="560" w:firstLineChars="200"/>
        <w:rPr>
          <w:rFonts w:ascii="仿宋" w:hAnsi="仿宋" w:eastAsia="仿宋" w:cs="仿宋"/>
          <w:sz w:val="28"/>
          <w:szCs w:val="28"/>
        </w:rPr>
      </w:pPr>
      <w:r>
        <w:rPr>
          <w:rFonts w:hint="eastAsia" w:ascii="仿宋" w:hAnsi="仿宋" w:eastAsia="仿宋" w:cs="仿宋"/>
          <w:sz w:val="28"/>
          <w:szCs w:val="28"/>
        </w:rPr>
        <w:t>电话：0739-5306997</w:t>
      </w:r>
    </w:p>
    <w:p>
      <w:pPr>
        <w:ind w:firstLine="560" w:firstLineChars="200"/>
        <w:rPr>
          <w:rFonts w:ascii="仿宋" w:hAnsi="仿宋" w:eastAsia="仿宋" w:cs="仿宋"/>
          <w:sz w:val="28"/>
          <w:szCs w:val="28"/>
        </w:rPr>
      </w:pPr>
      <w:r>
        <w:rPr>
          <w:rFonts w:hint="eastAsia" w:ascii="仿宋" w:hAnsi="仿宋" w:eastAsia="仿宋" w:cs="仿宋"/>
          <w:sz w:val="28"/>
          <w:szCs w:val="28"/>
        </w:rPr>
        <w:t>3、奖金发放。奖金发放需有相关依据，需在通知文件中注明奖项设置和具体发放金额，获奖名单以获奖结果通报文件为准，奖金发放表经校团委审批通过后由学校财务处统一发放至获奖学生银行卡号中。（见图2）</w:t>
      </w:r>
    </w:p>
    <w:p>
      <w:pPr>
        <w:ind w:firstLine="560" w:firstLineChars="200"/>
        <w:rPr>
          <w:rFonts w:ascii="仿宋" w:hAnsi="仿宋" w:eastAsia="仿宋" w:cs="仿宋"/>
          <w:sz w:val="28"/>
          <w:szCs w:val="28"/>
        </w:rPr>
      </w:pPr>
      <w:r>
        <w:rPr>
          <w:rFonts w:hint="eastAsia" w:ascii="仿宋" w:hAnsi="仿宋" w:eastAsia="仿宋" w:cs="仿宋"/>
          <w:sz w:val="28"/>
          <w:szCs w:val="28"/>
        </w:rPr>
        <w:t>社团文化节活动的报账时间：每周二下午</w:t>
      </w:r>
    </w:p>
    <w:p>
      <w:pPr>
        <w:ind w:firstLine="560" w:firstLineChars="200"/>
        <w:rPr>
          <w:rFonts w:ascii="仿宋" w:hAnsi="仿宋" w:eastAsia="仿宋" w:cs="仿宋"/>
          <w:sz w:val="28"/>
          <w:szCs w:val="28"/>
        </w:rPr>
      </w:pPr>
      <w:r>
        <w:rPr>
          <w:rFonts w:hint="eastAsia" w:ascii="仿宋" w:hAnsi="仿宋" w:eastAsia="仿宋" w:cs="仿宋"/>
          <w:sz w:val="28"/>
          <w:szCs w:val="28"/>
        </w:rPr>
        <w:t>联系人：校学社联财务部部长吴婵娟QQ号1603052548，联系电话18711951274（请在非上课时间段联系）。</w:t>
      </w:r>
    </w:p>
    <w:p>
      <w:pPr>
        <w:adjustRightInd w:val="0"/>
        <w:snapToGrid w:val="0"/>
        <w:rPr>
          <w:rFonts w:ascii="仿宋" w:hAnsi="仿宋" w:eastAsia="仿宋" w:cs="仿宋"/>
          <w:sz w:val="28"/>
          <w:szCs w:val="28"/>
        </w:rPr>
      </w:pPr>
      <w:r>
        <w:rPr>
          <w:rFonts w:hint="eastAsia" w:ascii="仿宋" w:hAnsi="仿宋" w:eastAsia="仿宋" w:cs="仿宋"/>
          <w:sz w:val="28"/>
          <w:szCs w:val="28"/>
        </w:rPr>
        <w:t>图1：发票样式</w:t>
      </w:r>
    </w:p>
    <w:p>
      <w:pPr>
        <w:adjustRightInd w:val="0"/>
        <w:snapToGrid w:val="0"/>
        <w:rPr>
          <w:rFonts w:ascii="宋体" w:hAnsi="宋体" w:eastAsia="宋体"/>
          <w:sz w:val="24"/>
        </w:rPr>
      </w:pPr>
    </w:p>
    <w:p>
      <w:pPr>
        <w:widowControl/>
        <w:spacing w:line="440" w:lineRule="atLeast"/>
        <w:ind w:firstLine="560"/>
        <w:jc w:val="left"/>
        <w:rPr>
          <w:rFonts w:ascii="微软雅黑" w:hAnsi="微软雅黑" w:eastAsia="微软雅黑" w:cs="微软雅黑"/>
          <w:color w:val="000000"/>
          <w:kern w:val="0"/>
          <w:sz w:val="28"/>
          <w:szCs w:val="28"/>
        </w:rPr>
      </w:pPr>
      <w:r>
        <w:rPr>
          <w:rFonts w:ascii="宋体" w:hAnsi="宋体" w:eastAsia="宋体"/>
          <w:sz w:val="24"/>
        </w:rPr>
        <w:drawing>
          <wp:inline distT="0" distB="0" distL="0" distR="0">
            <wp:extent cx="5274310" cy="3449955"/>
            <wp:effectExtent l="0" t="0" r="2540" b="17145"/>
            <wp:docPr id="1026" name="图片 8"/>
            <wp:cNvGraphicFramePr/>
            <a:graphic xmlns:a="http://schemas.openxmlformats.org/drawingml/2006/main">
              <a:graphicData uri="http://schemas.openxmlformats.org/drawingml/2006/picture">
                <pic:pic xmlns:pic="http://schemas.openxmlformats.org/drawingml/2006/picture">
                  <pic:nvPicPr>
                    <pic:cNvPr id="1026" name="图片 8"/>
                    <pic:cNvPicPr/>
                  </pic:nvPicPr>
                  <pic:blipFill>
                    <a:blip r:embed="rId4" cstate="print"/>
                    <a:srcRect/>
                    <a:stretch>
                      <a:fillRect/>
                    </a:stretch>
                  </pic:blipFill>
                  <pic:spPr>
                    <a:xfrm>
                      <a:off x="0" y="0"/>
                      <a:ext cx="5274310" cy="3449955"/>
                    </a:xfrm>
                    <a:prstGeom prst="rect">
                      <a:avLst/>
                    </a:prstGeom>
                  </pic:spPr>
                </pic:pic>
              </a:graphicData>
            </a:graphic>
          </wp:inline>
        </w:drawing>
      </w:r>
    </w:p>
    <w:p>
      <w:pPr>
        <w:adjustRightInd w:val="0"/>
        <w:snapToGrid w:val="0"/>
        <w:rPr>
          <w:rFonts w:ascii="宋体" w:hAnsi="宋体" w:eastAsia="宋体"/>
          <w:sz w:val="24"/>
        </w:rPr>
      </w:pPr>
    </w:p>
    <w:p>
      <w:pPr>
        <w:adjustRightInd w:val="0"/>
        <w:snapToGrid w:val="0"/>
        <w:rPr>
          <w:rFonts w:ascii="宋体" w:hAnsi="宋体" w:eastAsia="宋体"/>
          <w:sz w:val="24"/>
        </w:rPr>
      </w:pPr>
    </w:p>
    <w:p>
      <w:pPr>
        <w:adjustRightInd w:val="0"/>
        <w:snapToGrid w:val="0"/>
        <w:rPr>
          <w:rFonts w:ascii="宋体" w:hAnsi="宋体" w:eastAsia="宋体"/>
          <w:sz w:val="24"/>
        </w:rPr>
      </w:pPr>
    </w:p>
    <w:p>
      <w:pPr>
        <w:adjustRightInd w:val="0"/>
        <w:snapToGrid w:val="0"/>
        <w:rPr>
          <w:rFonts w:ascii="宋体" w:hAnsi="宋体" w:eastAsia="宋体"/>
          <w:sz w:val="24"/>
        </w:rPr>
      </w:pPr>
    </w:p>
    <w:p>
      <w:pPr>
        <w:adjustRightInd w:val="0"/>
        <w:snapToGrid w:val="0"/>
        <w:rPr>
          <w:rFonts w:ascii="宋体" w:hAnsi="宋体" w:eastAsia="宋体"/>
          <w:sz w:val="24"/>
        </w:rPr>
      </w:pPr>
    </w:p>
    <w:p>
      <w:pPr>
        <w:adjustRightInd w:val="0"/>
        <w:snapToGrid w:val="0"/>
        <w:rPr>
          <w:rFonts w:ascii="宋体" w:hAnsi="宋体" w:eastAsia="宋体"/>
          <w:sz w:val="24"/>
        </w:rPr>
      </w:pPr>
    </w:p>
    <w:p>
      <w:pPr>
        <w:tabs>
          <w:tab w:val="left" w:pos="5325"/>
        </w:tabs>
        <w:rPr>
          <w:rFonts w:ascii="仿宋" w:hAnsi="仿宋" w:eastAsia="仿宋"/>
          <w:sz w:val="28"/>
          <w:szCs w:val="28"/>
        </w:rPr>
      </w:pPr>
      <w:r>
        <w:rPr>
          <w:rFonts w:hint="eastAsia" w:ascii="仿宋" w:hAnsi="仿宋" w:eastAsia="仿宋"/>
          <w:sz w:val="28"/>
          <w:szCs w:val="28"/>
        </w:rPr>
        <w:t>图2：奖金发放表（Excel制表）</w:t>
      </w:r>
    </w:p>
    <w:tbl>
      <w:tblPr>
        <w:tblStyle w:val="3"/>
        <w:tblW w:w="9579" w:type="dxa"/>
        <w:tblInd w:w="0" w:type="dxa"/>
        <w:tblLayout w:type="fixed"/>
        <w:tblCellMar>
          <w:top w:w="0" w:type="dxa"/>
          <w:left w:w="0" w:type="dxa"/>
          <w:bottom w:w="0" w:type="dxa"/>
          <w:right w:w="0" w:type="dxa"/>
        </w:tblCellMar>
      </w:tblPr>
      <w:tblGrid>
        <w:gridCol w:w="3268"/>
        <w:gridCol w:w="2040"/>
        <w:gridCol w:w="1877"/>
        <w:gridCol w:w="2394"/>
      </w:tblGrid>
      <w:tr>
        <w:tblPrEx>
          <w:tblLayout w:type="fixed"/>
          <w:tblCellMar>
            <w:top w:w="0" w:type="dxa"/>
            <w:left w:w="0" w:type="dxa"/>
            <w:bottom w:w="0" w:type="dxa"/>
            <w:right w:w="0" w:type="dxa"/>
          </w:tblCellMar>
        </w:tblPrEx>
        <w:trPr>
          <w:trHeight w:val="940" w:hRule="atLeast"/>
        </w:trPr>
        <w:tc>
          <w:tcPr>
            <w:tcW w:w="9579" w:type="dxa"/>
            <w:gridSpan w:val="4"/>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b/>
                <w:color w:val="000000"/>
                <w:sz w:val="36"/>
                <w:szCs w:val="36"/>
              </w:rPr>
            </w:pPr>
            <w:r>
              <w:rPr>
                <w:rFonts w:hint="eastAsia" w:ascii="宋体" w:hAnsi="宋体"/>
                <w:b/>
                <w:color w:val="000000"/>
                <w:kern w:val="0"/>
                <w:sz w:val="36"/>
                <w:szCs w:val="36"/>
              </w:rPr>
              <w:t>XX活动奖金发放表（模板）</w:t>
            </w:r>
          </w:p>
        </w:tc>
      </w:tr>
      <w:tr>
        <w:tblPrEx>
          <w:tblLayout w:type="fixed"/>
          <w:tblCellMar>
            <w:top w:w="0" w:type="dxa"/>
            <w:left w:w="0" w:type="dxa"/>
            <w:bottom w:w="0" w:type="dxa"/>
            <w:right w:w="0" w:type="dxa"/>
          </w:tblCellMar>
        </w:tblPrEx>
        <w:trPr>
          <w:trHeight w:val="480" w:hRule="atLeast"/>
        </w:trPr>
        <w:tc>
          <w:tcPr>
            <w:tcW w:w="3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账号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姓名</w:t>
            </w: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金额</w:t>
            </w: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sz w:val="28"/>
                <w:szCs w:val="28"/>
              </w:rPr>
            </w:pPr>
            <w:r>
              <w:rPr>
                <w:rFonts w:hint="eastAsia" w:ascii="宋体" w:hAnsi="宋体"/>
                <w:color w:val="000000"/>
                <w:kern w:val="0"/>
                <w:sz w:val="28"/>
                <w:szCs w:val="28"/>
              </w:rPr>
              <w:t>备注(所获奖项)</w:t>
            </w:r>
          </w:p>
        </w:tc>
      </w:tr>
      <w:tr>
        <w:tblPrEx>
          <w:tblLayout w:type="fixed"/>
          <w:tblCellMar>
            <w:top w:w="0" w:type="dxa"/>
            <w:left w:w="0" w:type="dxa"/>
            <w:bottom w:w="0" w:type="dxa"/>
            <w:right w:w="0" w:type="dxa"/>
          </w:tblCellMar>
        </w:tblPrEx>
        <w:trPr>
          <w:trHeight w:val="480" w:hRule="atLeast"/>
        </w:trPr>
        <w:tc>
          <w:tcPr>
            <w:tcW w:w="3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r>
      <w:tr>
        <w:tblPrEx>
          <w:tblLayout w:type="fixed"/>
          <w:tblCellMar>
            <w:top w:w="0" w:type="dxa"/>
            <w:left w:w="0" w:type="dxa"/>
            <w:bottom w:w="0" w:type="dxa"/>
            <w:right w:w="0" w:type="dxa"/>
          </w:tblCellMar>
        </w:tblPrEx>
        <w:trPr>
          <w:trHeight w:val="480" w:hRule="atLeast"/>
        </w:trPr>
        <w:tc>
          <w:tcPr>
            <w:tcW w:w="3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r>
      <w:tr>
        <w:tblPrEx>
          <w:tblLayout w:type="fixed"/>
          <w:tblCellMar>
            <w:top w:w="0" w:type="dxa"/>
            <w:left w:w="0" w:type="dxa"/>
            <w:bottom w:w="0" w:type="dxa"/>
            <w:right w:w="0" w:type="dxa"/>
          </w:tblCellMar>
        </w:tblPrEx>
        <w:trPr>
          <w:trHeight w:val="480" w:hRule="atLeast"/>
        </w:trPr>
        <w:tc>
          <w:tcPr>
            <w:tcW w:w="3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r>
      <w:tr>
        <w:tblPrEx>
          <w:tblLayout w:type="fixed"/>
          <w:tblCellMar>
            <w:top w:w="0" w:type="dxa"/>
            <w:left w:w="0" w:type="dxa"/>
            <w:bottom w:w="0" w:type="dxa"/>
            <w:right w:w="0" w:type="dxa"/>
          </w:tblCellMar>
        </w:tblPrEx>
        <w:trPr>
          <w:trHeight w:val="480" w:hRule="atLeast"/>
        </w:trPr>
        <w:tc>
          <w:tcPr>
            <w:tcW w:w="3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20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18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c>
          <w:tcPr>
            <w:tcW w:w="23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p>
        </w:tc>
      </w:tr>
      <w:tr>
        <w:tblPrEx>
          <w:tblLayout w:type="fixed"/>
          <w:tblCellMar>
            <w:top w:w="0" w:type="dxa"/>
            <w:left w:w="0" w:type="dxa"/>
            <w:bottom w:w="0" w:type="dxa"/>
            <w:right w:w="0" w:type="dxa"/>
          </w:tblCellMar>
        </w:tblPrEx>
        <w:trPr>
          <w:trHeight w:val="480" w:hRule="atLeast"/>
        </w:trPr>
        <w:tc>
          <w:tcPr>
            <w:tcW w:w="32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总计</w:t>
            </w:r>
          </w:p>
        </w:tc>
        <w:tc>
          <w:tcPr>
            <w:tcW w:w="63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olor w:val="000000"/>
                <w:kern w:val="0"/>
                <w:sz w:val="28"/>
                <w:szCs w:val="28"/>
              </w:rPr>
            </w:pPr>
            <w:r>
              <w:rPr>
                <w:rFonts w:hint="eastAsia" w:ascii="宋体" w:hAnsi="宋体"/>
                <w:color w:val="000000"/>
                <w:kern w:val="0"/>
                <w:sz w:val="28"/>
                <w:szCs w:val="28"/>
              </w:rPr>
              <w:t>壹佰元整（¥100.00元整）</w:t>
            </w:r>
            <w:r>
              <w:rPr>
                <w:rFonts w:hint="eastAsia" w:ascii="宋体" w:hAnsi="宋体"/>
                <w:kern w:val="0"/>
                <w:sz w:val="28"/>
                <w:szCs w:val="28"/>
                <w:highlight w:val="yellow"/>
              </w:rPr>
              <w:t>（样本）</w:t>
            </w:r>
          </w:p>
        </w:tc>
      </w:tr>
    </w:tbl>
    <w:p>
      <w:pPr>
        <w:jc w:val="left"/>
        <w:rPr>
          <w:rFonts w:ascii="仿宋" w:hAnsi="仿宋" w:eastAsia="仿宋"/>
          <w:sz w:val="24"/>
        </w:rPr>
      </w:pPr>
      <w:r>
        <w:rPr>
          <w:rFonts w:hint="eastAsia" w:ascii="宋体" w:hAnsi="宋体" w:eastAsia="宋体"/>
          <w:sz w:val="24"/>
        </w:rPr>
        <w:t>注：此表为</w:t>
      </w:r>
      <w:r>
        <w:rPr>
          <w:rFonts w:hint="eastAsia" w:ascii="仿宋" w:hAnsi="仿宋" w:eastAsia="仿宋"/>
          <w:sz w:val="24"/>
        </w:rPr>
        <w:t>Excel制表。</w:t>
      </w:r>
    </w:p>
    <w:p>
      <w:pPr>
        <w:jc w:val="left"/>
        <w:rPr>
          <w:rFonts w:ascii="仿宋" w:hAnsi="仿宋" w:eastAsia="仿宋"/>
          <w:sz w:val="24"/>
        </w:rPr>
      </w:pPr>
    </w:p>
    <w:p>
      <w:pPr>
        <w:wordWrap w:val="0"/>
        <w:jc w:val="right"/>
        <w:rPr>
          <w:rFonts w:ascii="宋体" w:hAnsi="宋体" w:eastAsia="宋体"/>
          <w:sz w:val="28"/>
          <w:szCs w:val="28"/>
        </w:rPr>
      </w:pPr>
      <w:r>
        <w:rPr>
          <w:rFonts w:hint="eastAsia" w:ascii="宋体" w:hAnsi="宋体" w:eastAsia="宋体"/>
          <w:sz w:val="28"/>
          <w:szCs w:val="28"/>
        </w:rPr>
        <w:t>制表人：</w:t>
      </w:r>
      <w:r>
        <w:rPr>
          <w:rFonts w:ascii="宋体" w:hAnsi="宋体" w:eastAsia="宋体"/>
          <w:sz w:val="28"/>
          <w:szCs w:val="28"/>
        </w:rPr>
        <w:t xml:space="preserve">     </w:t>
      </w:r>
    </w:p>
    <w:p>
      <w:pPr>
        <w:ind w:right="560"/>
        <w:jc w:val="center"/>
      </w:pP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r>
        <w:rPr>
          <w:rFonts w:hint="eastAsia" w:ascii="Times New Roman" w:hAnsi="Times New Roman"/>
          <w:sz w:val="28"/>
          <w:szCs w:val="28"/>
        </w:rPr>
        <w:t>制表时间：</w:t>
      </w:r>
      <w:r>
        <w:rPr>
          <w:rFonts w:ascii="Times New Roman" w:hAnsi="Times New Roman"/>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chineseCounting"/>
      <w:lvlText w:val="(%1)"/>
      <w:lvlJc w:val="left"/>
      <w:pPr>
        <w:tabs>
          <w:tab w:val="left" w:pos="312"/>
        </w:tabs>
      </w:pPr>
      <w:rPr>
        <w:rFonts w:hint="eastAsia"/>
      </w:rPr>
    </w:lvl>
  </w:abstractNum>
  <w:abstractNum w:abstractNumId="1">
    <w:nsid w:val="00000001"/>
    <w:multiLevelType w:val="singleLevel"/>
    <w:tmpl w:val="00000001"/>
    <w:lvl w:ilvl="0" w:tentative="0">
      <w:start w:val="1"/>
      <w:numFmt w:val="chineseCounting"/>
      <w:suff w:val="nothing"/>
      <w:lvlText w:val="%1、"/>
      <w:lvlJc w:val="left"/>
      <w:rPr>
        <w:rFonts w:hint="eastAsia"/>
      </w:rPr>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03"/>
    <w:multiLevelType w:val="singleLevel"/>
    <w:tmpl w:val="00000003"/>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7F25ED"/>
    <w:rsid w:val="7C7A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1"/>
  </w:style>
  <w:style w:type="table" w:default="1" w:styleId="3">
    <w:name w:val="Normal Table"/>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character" w:styleId="5">
    <w:name w:val="Hyperlink"/>
    <w:basedOn w:val="4"/>
    <w:qFormat/>
    <w:uiPriority w:val="99"/>
    <w:rPr>
      <w:color w:val="0563C1"/>
      <w:u w:val="single"/>
    </w:rPr>
  </w:style>
  <w:style w:type="paragraph" w:styleId="6">
    <w:name w:val="List Paragraph"/>
    <w:basedOn w:val="1"/>
    <w:qFormat/>
    <w:uiPriority w:val="34"/>
    <w:pPr>
      <w:ind w:firstLine="420" w:firstLineChars="200"/>
    </w:pPr>
  </w:style>
  <w:style w:type="character" w:customStyle="1" w:styleId="7">
    <w:name w:val="批注框文本 Char"/>
    <w:basedOn w:val="4"/>
    <w:link w:val="2"/>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1729</Words>
  <Characters>1951</Characters>
  <Paragraphs>121</Paragraphs>
  <TotalTime>6</TotalTime>
  <ScaleCrop>false</ScaleCrop>
  <LinksUpToDate>false</LinksUpToDate>
  <CharactersWithSpaces>2024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2019-04-28T06:25:00Z</dcterms:created>
  <dc:creator>邵阳学院团委</dc:creator>
  <cp:lastModifiedBy>邵阳学院团委</cp:lastModifiedBy>
  <dcterms:modified xsi:type="dcterms:W3CDTF">2019-05-13T11:22:12Z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